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BACD" w14:textId="728B28F3" w:rsidR="00D647F3" w:rsidRPr="00D647F3" w:rsidRDefault="003C3F7A" w:rsidP="00D647F3">
      <w:pPr>
        <w:shd w:val="clear" w:color="auto" w:fill="FFFFFF"/>
        <w:spacing w:before="225" w:after="0" w:line="240" w:lineRule="auto"/>
        <w:outlineLvl w:val="0"/>
        <w:rPr>
          <w:rFonts w:ascii="Oswald" w:eastAsia="Times New Roman" w:hAnsi="Oswald" w:cs="Times New Roman"/>
          <w:b/>
          <w:bCs/>
          <w:color w:val="0455A4"/>
          <w:kern w:val="36"/>
          <w:sz w:val="42"/>
          <w:szCs w:val="42"/>
        </w:rPr>
      </w:pPr>
      <w:r>
        <w:rPr>
          <w:rFonts w:ascii="Oswald" w:eastAsia="Times New Roman" w:hAnsi="Oswald" w:cs="Times New Roman"/>
          <w:b/>
          <w:bCs/>
          <w:color w:val="0455A4"/>
          <w:kern w:val="36"/>
          <w:sz w:val="42"/>
          <w:szCs w:val="42"/>
        </w:rPr>
        <w:t>Headquarters</w:t>
      </w:r>
      <w:r w:rsidR="00D647F3" w:rsidRPr="00D647F3">
        <w:rPr>
          <w:rFonts w:ascii="Oswald" w:eastAsia="Times New Roman" w:hAnsi="Oswald" w:cs="Times New Roman"/>
          <w:b/>
          <w:bCs/>
          <w:color w:val="0455A4"/>
          <w:kern w:val="36"/>
          <w:sz w:val="42"/>
          <w:szCs w:val="42"/>
        </w:rPr>
        <w:t xml:space="preserve"> and Travel Status</w:t>
      </w:r>
    </w:p>
    <w:p w14:paraId="4C793DA3" w14:textId="77777777" w:rsidR="00D647F3" w:rsidRPr="00D647F3" w:rsidRDefault="00D647F3" w:rsidP="00D647F3">
      <w:pPr>
        <w:shd w:val="clear" w:color="auto" w:fill="FFFFFF"/>
        <w:spacing w:before="225" w:after="0" w:line="240" w:lineRule="auto"/>
        <w:outlineLvl w:val="1"/>
        <w:rPr>
          <w:rFonts w:ascii="Oswald" w:eastAsia="Times New Roman" w:hAnsi="Oswald" w:cs="Times New Roman"/>
          <w:b/>
          <w:bCs/>
          <w:color w:val="13294B"/>
          <w:sz w:val="31"/>
          <w:szCs w:val="31"/>
        </w:rPr>
      </w:pPr>
      <w:r w:rsidRPr="00D647F3">
        <w:rPr>
          <w:rFonts w:ascii="Oswald" w:eastAsia="Times New Roman" w:hAnsi="Oswald" w:cs="Times New Roman"/>
          <w:b/>
          <w:bCs/>
          <w:color w:val="13294B"/>
          <w:sz w:val="31"/>
          <w:szCs w:val="31"/>
        </w:rPr>
        <w:t>Travel Status</w:t>
      </w:r>
    </w:p>
    <w:p w14:paraId="40FC6EED" w14:textId="77777777" w:rsidR="00915911" w:rsidRPr="005B28C1" w:rsidRDefault="00D647F3" w:rsidP="00ED6764">
      <w:pPr>
        <w:shd w:val="clear" w:color="auto" w:fill="FFFFFF"/>
        <w:spacing w:before="48" w:after="120" w:line="240" w:lineRule="auto"/>
        <w:rPr>
          <w:rFonts w:eastAsia="Times New Roman" w:cstheme="minorHAnsi"/>
          <w:color w:val="000000"/>
          <w:sz w:val="24"/>
          <w:szCs w:val="24"/>
        </w:rPr>
      </w:pPr>
      <w:r w:rsidRPr="005B28C1">
        <w:rPr>
          <w:rFonts w:eastAsia="Times New Roman" w:cstheme="minorHAnsi"/>
          <w:color w:val="000000"/>
          <w:sz w:val="24"/>
          <w:szCs w:val="24"/>
        </w:rPr>
        <w:t>Employees are on travel status while away from their University of Illinois System</w:t>
      </w:r>
      <w:r w:rsidR="00ED6764" w:rsidRPr="005B28C1">
        <w:rPr>
          <w:rFonts w:eastAsia="Times New Roman" w:cstheme="minorHAnsi"/>
          <w:color w:val="000000"/>
          <w:sz w:val="24"/>
          <w:szCs w:val="24"/>
        </w:rPr>
        <w:t xml:space="preserve"> headquarters</w:t>
      </w:r>
      <w:r w:rsidR="00DE34F9" w:rsidRPr="005B28C1">
        <w:rPr>
          <w:rFonts w:eastAsia="Times New Roman" w:cstheme="minorHAnsi"/>
          <w:color w:val="000000"/>
          <w:sz w:val="24"/>
          <w:szCs w:val="24"/>
        </w:rPr>
        <w:t>, their residence, or other authorized locations</w:t>
      </w:r>
      <w:r w:rsidRPr="005B28C1">
        <w:rPr>
          <w:rFonts w:eastAsia="Times New Roman" w:cstheme="minorHAnsi"/>
          <w:color w:val="000000"/>
          <w:sz w:val="24"/>
          <w:szCs w:val="24"/>
        </w:rPr>
        <w:t xml:space="preserve"> on authorized system </w:t>
      </w:r>
      <w:r w:rsidR="00341FB0" w:rsidRPr="005B28C1">
        <w:rPr>
          <w:rFonts w:eastAsia="Times New Roman" w:cstheme="minorHAnsi"/>
          <w:color w:val="000000"/>
          <w:sz w:val="24"/>
          <w:szCs w:val="24"/>
        </w:rPr>
        <w:t xml:space="preserve">or university </w:t>
      </w:r>
      <w:r w:rsidRPr="005B28C1">
        <w:rPr>
          <w:rFonts w:eastAsia="Times New Roman" w:cstheme="minorHAnsi"/>
          <w:color w:val="000000"/>
          <w:sz w:val="24"/>
          <w:szCs w:val="24"/>
        </w:rPr>
        <w:t xml:space="preserve">business. Employees are not in travel status during their normal commute to and from work. </w:t>
      </w:r>
    </w:p>
    <w:p w14:paraId="6CB89E97" w14:textId="3CC6AB09" w:rsidR="00ED6764" w:rsidRPr="005B28C1" w:rsidRDefault="00ED6764" w:rsidP="00ED6764">
      <w:pPr>
        <w:shd w:val="clear" w:color="auto" w:fill="FFFFFF"/>
        <w:spacing w:before="48" w:after="120" w:line="240" w:lineRule="auto"/>
        <w:rPr>
          <w:rFonts w:eastAsia="Times New Roman" w:cstheme="minorHAnsi"/>
          <w:color w:val="000000"/>
          <w:sz w:val="24"/>
          <w:szCs w:val="24"/>
        </w:rPr>
      </w:pPr>
      <w:r w:rsidRPr="005B28C1">
        <w:rPr>
          <w:rFonts w:eastAsia="Times New Roman" w:cstheme="minorHAnsi"/>
          <w:color w:val="000000"/>
          <w:sz w:val="24"/>
          <w:szCs w:val="24"/>
        </w:rPr>
        <w:t xml:space="preserve">Travel status begins when employees leave </w:t>
      </w:r>
      <w:r w:rsidR="00231EA7" w:rsidRPr="005B28C1">
        <w:rPr>
          <w:rFonts w:eastAsia="Times New Roman" w:cstheme="minorHAnsi"/>
          <w:color w:val="000000"/>
          <w:sz w:val="24"/>
          <w:szCs w:val="24"/>
        </w:rPr>
        <w:t xml:space="preserve">their </w:t>
      </w:r>
      <w:r w:rsidRPr="005B28C1">
        <w:rPr>
          <w:rFonts w:eastAsia="Times New Roman" w:cstheme="minorHAnsi"/>
          <w:color w:val="000000"/>
          <w:sz w:val="24"/>
          <w:szCs w:val="24"/>
        </w:rPr>
        <w:t xml:space="preserve">headquarters, their residence, or other authorized locations to go directly to their </w:t>
      </w:r>
      <w:r w:rsidR="008C579C">
        <w:rPr>
          <w:rFonts w:eastAsia="Times New Roman" w:cstheme="minorHAnsi"/>
          <w:color w:val="000000"/>
          <w:sz w:val="24"/>
          <w:szCs w:val="24"/>
        </w:rPr>
        <w:t xml:space="preserve">work </w:t>
      </w:r>
      <w:r w:rsidRPr="005B28C1">
        <w:rPr>
          <w:rFonts w:eastAsia="Times New Roman" w:cstheme="minorHAnsi"/>
          <w:color w:val="000000"/>
          <w:sz w:val="24"/>
          <w:szCs w:val="24"/>
        </w:rPr>
        <w:t xml:space="preserve">destination. Travel status ends when employees return directly to </w:t>
      </w:r>
      <w:r w:rsidR="00231EA7" w:rsidRPr="005B28C1">
        <w:rPr>
          <w:rFonts w:eastAsia="Times New Roman" w:cstheme="minorHAnsi"/>
          <w:color w:val="000000"/>
          <w:sz w:val="24"/>
          <w:szCs w:val="24"/>
        </w:rPr>
        <w:t xml:space="preserve">their </w:t>
      </w:r>
      <w:r w:rsidRPr="005B28C1">
        <w:rPr>
          <w:rFonts w:eastAsia="Times New Roman" w:cstheme="minorHAnsi"/>
          <w:color w:val="000000"/>
          <w:sz w:val="24"/>
          <w:szCs w:val="24"/>
        </w:rPr>
        <w:t>headquarters, their residence, or other authorized locations after completing system business.</w:t>
      </w:r>
    </w:p>
    <w:p w14:paraId="0D959324" w14:textId="62A27F22" w:rsidR="002B3527" w:rsidRPr="005B28C1" w:rsidRDefault="00915911" w:rsidP="00ED6764">
      <w:pPr>
        <w:shd w:val="clear" w:color="auto" w:fill="FFFFFF"/>
        <w:spacing w:before="48" w:after="120" w:line="240" w:lineRule="auto"/>
        <w:rPr>
          <w:rFonts w:eastAsia="Times New Roman" w:cstheme="minorHAnsi"/>
          <w:color w:val="000000"/>
          <w:sz w:val="24"/>
          <w:szCs w:val="24"/>
        </w:rPr>
      </w:pPr>
      <w:r w:rsidRPr="005B28C1">
        <w:rPr>
          <w:sz w:val="24"/>
          <w:szCs w:val="24"/>
        </w:rPr>
        <w:t>Upon department approval, fully remote employees may be on travel status and eligible for reimbursement when making occasional trips to campus.</w:t>
      </w:r>
      <w:r w:rsidR="00DE2ECB">
        <w:rPr>
          <w:sz w:val="24"/>
          <w:szCs w:val="24"/>
        </w:rPr>
        <w:t>*</w:t>
      </w:r>
      <w:r w:rsidR="002B3527" w:rsidRPr="005B28C1">
        <w:rPr>
          <w:sz w:val="24"/>
          <w:szCs w:val="24"/>
        </w:rPr>
        <w:t xml:space="preserve"> </w:t>
      </w:r>
    </w:p>
    <w:p w14:paraId="58AC4571" w14:textId="2D99FC1F" w:rsidR="00EF1FE6" w:rsidRDefault="00867FE2" w:rsidP="00ED6764">
      <w:pPr>
        <w:shd w:val="clear" w:color="auto" w:fill="FFFFFF"/>
        <w:spacing w:before="48" w:after="120" w:line="240" w:lineRule="auto"/>
        <w:rPr>
          <w:rFonts w:eastAsia="Times New Roman" w:cstheme="minorHAnsi"/>
          <w:color w:val="000000"/>
          <w:sz w:val="24"/>
          <w:szCs w:val="24"/>
        </w:rPr>
      </w:pPr>
      <w:r w:rsidRPr="005B28C1">
        <w:rPr>
          <w:b/>
          <w:bCs/>
          <w:sz w:val="24"/>
          <w:szCs w:val="24"/>
        </w:rPr>
        <w:t>Note:</w:t>
      </w:r>
      <w:r w:rsidRPr="005B28C1">
        <w:rPr>
          <w:i/>
          <w:iCs/>
          <w:sz w:val="24"/>
          <w:szCs w:val="24"/>
        </w:rPr>
        <w:t xml:space="preserve"> Reimbursements granted under this policy are subject to all the travel-related policies of the University of Illinois System.</w:t>
      </w:r>
    </w:p>
    <w:p w14:paraId="34F43A37" w14:textId="0E25BC0F" w:rsidR="003C3F7A" w:rsidRPr="005B28C1" w:rsidRDefault="002C48B5" w:rsidP="00ED6764">
      <w:pPr>
        <w:shd w:val="clear" w:color="auto" w:fill="FFFFFF"/>
        <w:spacing w:before="48" w:after="120" w:line="240" w:lineRule="auto"/>
        <w:rPr>
          <w:rFonts w:eastAsia="Times New Roman" w:cstheme="minorHAnsi"/>
          <w:color w:val="000000"/>
          <w:sz w:val="24"/>
          <w:szCs w:val="24"/>
        </w:rPr>
      </w:pPr>
      <w:r w:rsidRPr="005B28C1">
        <w:rPr>
          <w:rFonts w:eastAsia="Times New Roman" w:cstheme="minorHAnsi"/>
          <w:color w:val="000000"/>
          <w:sz w:val="24"/>
          <w:szCs w:val="24"/>
        </w:rPr>
        <w:t>For purposes of this policy, applicable terms are defined as follows:</w:t>
      </w:r>
    </w:p>
    <w:p w14:paraId="59141BA0" w14:textId="77777777" w:rsidR="009E1BBA" w:rsidRDefault="00ED6764" w:rsidP="00F849BF">
      <w:pPr>
        <w:shd w:val="clear" w:color="auto" w:fill="FFFFFF"/>
        <w:spacing w:before="48" w:after="120" w:line="240" w:lineRule="auto"/>
        <w:rPr>
          <w:rFonts w:cstheme="minorHAnsi"/>
        </w:rPr>
      </w:pPr>
      <w:r w:rsidRPr="005B28C1">
        <w:rPr>
          <w:rFonts w:eastAsia="Times New Roman" w:cstheme="minorHAnsi"/>
          <w:b/>
          <w:bCs/>
          <w:color w:val="000000" w:themeColor="text1"/>
          <w:sz w:val="24"/>
          <w:szCs w:val="24"/>
        </w:rPr>
        <w:t>Headquarters</w:t>
      </w:r>
      <w:r w:rsidR="002B3527" w:rsidRPr="005B28C1">
        <w:rPr>
          <w:rFonts w:eastAsia="Times New Roman" w:cstheme="minorHAnsi"/>
          <w:b/>
          <w:bCs/>
          <w:color w:val="000000" w:themeColor="text1"/>
          <w:sz w:val="24"/>
          <w:szCs w:val="24"/>
        </w:rPr>
        <w:t>—</w:t>
      </w:r>
      <w:r w:rsidR="002C48B5" w:rsidRPr="005B28C1">
        <w:rPr>
          <w:rFonts w:eastAsia="Times New Roman" w:cstheme="minorHAnsi"/>
          <w:color w:val="000000" w:themeColor="text1"/>
          <w:sz w:val="24"/>
          <w:szCs w:val="24"/>
        </w:rPr>
        <w:t xml:space="preserve">Headquarters </w:t>
      </w:r>
      <w:r w:rsidR="00D647F3" w:rsidRPr="005B28C1">
        <w:rPr>
          <w:rFonts w:eastAsia="Times New Roman" w:cstheme="minorHAnsi"/>
          <w:color w:val="000000" w:themeColor="text1"/>
          <w:sz w:val="24"/>
          <w:szCs w:val="24"/>
        </w:rPr>
        <w:t>is the location where employees perform the majority of their duties</w:t>
      </w:r>
      <w:r w:rsidR="00072CC9" w:rsidRPr="005B28C1">
        <w:rPr>
          <w:rFonts w:eastAsia="Times New Roman" w:cstheme="minorHAnsi"/>
          <w:color w:val="000000" w:themeColor="text1"/>
          <w:sz w:val="24"/>
          <w:szCs w:val="24"/>
        </w:rPr>
        <w:t xml:space="preserve">, </w:t>
      </w:r>
      <w:r w:rsidR="00742907" w:rsidRPr="005B28C1">
        <w:rPr>
          <w:rFonts w:eastAsia="Times New Roman" w:cstheme="minorHAnsi"/>
          <w:color w:val="000000" w:themeColor="text1"/>
          <w:sz w:val="24"/>
          <w:szCs w:val="24"/>
        </w:rPr>
        <w:t>usually within</w:t>
      </w:r>
      <w:r w:rsidR="00072CC9" w:rsidRPr="005B28C1">
        <w:rPr>
          <w:rFonts w:eastAsia="Times New Roman" w:cstheme="minorHAnsi"/>
          <w:color w:val="000000" w:themeColor="text1"/>
          <w:sz w:val="24"/>
          <w:szCs w:val="24"/>
        </w:rPr>
        <w:t xml:space="preserve"> the area within the</w:t>
      </w:r>
      <w:r w:rsidR="00742907" w:rsidRPr="005B28C1">
        <w:rPr>
          <w:rFonts w:eastAsia="Times New Roman" w:cstheme="minorHAnsi"/>
          <w:color w:val="000000" w:themeColor="text1"/>
          <w:sz w:val="24"/>
          <w:szCs w:val="24"/>
        </w:rPr>
        <w:t xml:space="preserve"> city limit</w:t>
      </w:r>
      <w:r w:rsidR="00072CC9" w:rsidRPr="005B28C1">
        <w:rPr>
          <w:rFonts w:eastAsia="Times New Roman" w:cstheme="minorHAnsi"/>
          <w:color w:val="000000" w:themeColor="text1"/>
          <w:sz w:val="24"/>
          <w:szCs w:val="24"/>
        </w:rPr>
        <w:t>s or a defined</w:t>
      </w:r>
      <w:r w:rsidR="00742907" w:rsidRPr="005B28C1">
        <w:rPr>
          <w:rFonts w:eastAsia="Times New Roman" w:cstheme="minorHAnsi"/>
          <w:color w:val="000000" w:themeColor="text1"/>
          <w:sz w:val="24"/>
          <w:szCs w:val="24"/>
        </w:rPr>
        <w:t xml:space="preserve"> geographic</w:t>
      </w:r>
      <w:r w:rsidR="00072CC9" w:rsidRPr="005B28C1">
        <w:rPr>
          <w:rFonts w:eastAsia="Times New Roman" w:cstheme="minorHAnsi"/>
          <w:color w:val="000000" w:themeColor="text1"/>
          <w:sz w:val="24"/>
          <w:szCs w:val="24"/>
        </w:rPr>
        <w:t>al</w:t>
      </w:r>
      <w:r w:rsidR="00742907" w:rsidRPr="005B28C1">
        <w:rPr>
          <w:rFonts w:eastAsia="Times New Roman" w:cstheme="minorHAnsi"/>
          <w:color w:val="000000" w:themeColor="text1"/>
          <w:sz w:val="24"/>
          <w:szCs w:val="24"/>
        </w:rPr>
        <w:t xml:space="preserve"> </w:t>
      </w:r>
      <w:r w:rsidR="00742907" w:rsidRPr="00F16396">
        <w:rPr>
          <w:rFonts w:eastAsia="Times New Roman" w:cstheme="minorHAnsi"/>
          <w:color w:val="000000" w:themeColor="text1"/>
          <w:sz w:val="24"/>
          <w:szCs w:val="24"/>
        </w:rPr>
        <w:t>area</w:t>
      </w:r>
      <w:r w:rsidRPr="00F16396">
        <w:rPr>
          <w:rFonts w:eastAsia="Times New Roman" w:cstheme="minorHAnsi"/>
          <w:color w:val="000000" w:themeColor="text1"/>
          <w:sz w:val="24"/>
          <w:szCs w:val="24"/>
        </w:rPr>
        <w:t xml:space="preserve">. </w:t>
      </w:r>
      <w:r w:rsidR="00F550BE" w:rsidRPr="00F16396">
        <w:rPr>
          <w:rFonts w:cstheme="minorHAnsi"/>
          <w:sz w:val="24"/>
          <w:szCs w:val="24"/>
        </w:rPr>
        <w:t>An employee’s residence may be considered their official headquarters if a remote or hybrid work arrangement has been approved by the unit and an agreement has been made for their residence to be designated as their headquarters.  Civil Service and Academic Professional employees should be entered into a documented remote or hybrid working agreement.</w:t>
      </w:r>
      <w:r w:rsidR="00F550BE">
        <w:rPr>
          <w:rFonts w:cstheme="minorHAnsi"/>
        </w:rPr>
        <w:t xml:space="preserve"> </w:t>
      </w:r>
    </w:p>
    <w:p w14:paraId="00BF93A0" w14:textId="7C4408D7" w:rsidR="00F849BF" w:rsidRPr="005B28C1" w:rsidRDefault="00D647F3" w:rsidP="00F849BF">
      <w:pPr>
        <w:shd w:val="clear" w:color="auto" w:fill="FFFFFF"/>
        <w:spacing w:before="48" w:after="120" w:line="240" w:lineRule="auto"/>
        <w:rPr>
          <w:rFonts w:eastAsia="Times New Roman" w:cstheme="minorHAnsi"/>
          <w:color w:val="000000" w:themeColor="text1"/>
          <w:sz w:val="24"/>
          <w:szCs w:val="24"/>
        </w:rPr>
      </w:pPr>
      <w:r w:rsidRPr="005B28C1">
        <w:rPr>
          <w:rFonts w:eastAsia="Times New Roman" w:cstheme="minorHAnsi"/>
          <w:b/>
          <w:bCs/>
          <w:color w:val="000000"/>
          <w:sz w:val="24"/>
          <w:szCs w:val="24"/>
        </w:rPr>
        <w:t>Commuting</w:t>
      </w:r>
      <w:r w:rsidR="002B3527" w:rsidRPr="005B28C1">
        <w:rPr>
          <w:rFonts w:eastAsia="Times New Roman" w:cstheme="minorHAnsi"/>
          <w:b/>
          <w:bCs/>
          <w:color w:val="000000"/>
          <w:sz w:val="24"/>
          <w:szCs w:val="24"/>
        </w:rPr>
        <w:t>—</w:t>
      </w:r>
      <w:r w:rsidR="00F849BF" w:rsidRPr="005B28C1">
        <w:rPr>
          <w:rFonts w:eastAsia="Times New Roman" w:cstheme="minorHAnsi"/>
          <w:color w:val="000000"/>
          <w:sz w:val="24"/>
          <w:szCs w:val="24"/>
        </w:rPr>
        <w:t xml:space="preserve">The round-trip mileage between the employee’s residence and headquarters is considered commuting. </w:t>
      </w:r>
      <w:r w:rsidR="002F4F99" w:rsidRPr="005B28C1">
        <w:rPr>
          <w:rFonts w:eastAsia="Times New Roman" w:cstheme="minorHAnsi"/>
          <w:color w:val="000000"/>
          <w:sz w:val="24"/>
          <w:szCs w:val="24"/>
        </w:rPr>
        <w:t xml:space="preserve">For employees </w:t>
      </w:r>
      <w:r w:rsidR="008C579C">
        <w:rPr>
          <w:rFonts w:eastAsia="Times New Roman" w:cstheme="minorHAnsi"/>
          <w:color w:val="000000"/>
          <w:sz w:val="24"/>
          <w:szCs w:val="24"/>
        </w:rPr>
        <w:t>who</w:t>
      </w:r>
      <w:r w:rsidR="002F4F99" w:rsidRPr="005B28C1">
        <w:rPr>
          <w:rFonts w:eastAsia="Times New Roman" w:cstheme="minorHAnsi"/>
          <w:color w:val="000000"/>
          <w:sz w:val="24"/>
          <w:szCs w:val="24"/>
        </w:rPr>
        <w:t xml:space="preserve"> work fully on campus or work a hybrid schedule, t</w:t>
      </w:r>
      <w:r w:rsidR="005E1F22" w:rsidRPr="005B28C1">
        <w:rPr>
          <w:rFonts w:eastAsia="Times New Roman" w:cstheme="minorHAnsi"/>
          <w:color w:val="000000"/>
          <w:sz w:val="24"/>
          <w:szCs w:val="24"/>
        </w:rPr>
        <w:t>ravel for the purpose of commuting is not reimbursable</w:t>
      </w:r>
      <w:r w:rsidR="0093146A">
        <w:rPr>
          <w:rFonts w:eastAsia="Times New Roman" w:cstheme="minorHAnsi"/>
          <w:color w:val="000000"/>
          <w:sz w:val="24"/>
          <w:szCs w:val="24"/>
        </w:rPr>
        <w:t>.</w:t>
      </w:r>
    </w:p>
    <w:p w14:paraId="00132D6C" w14:textId="7B7D56D9" w:rsidR="003C0C58" w:rsidRPr="005B28C1" w:rsidRDefault="003C0C58" w:rsidP="003C0C58">
      <w:pPr>
        <w:shd w:val="clear" w:color="auto" w:fill="FFFFFF"/>
        <w:spacing w:before="48" w:after="120" w:line="240" w:lineRule="auto"/>
        <w:rPr>
          <w:rFonts w:eastAsia="Times New Roman" w:cstheme="minorHAnsi"/>
          <w:color w:val="000000" w:themeColor="text1"/>
          <w:sz w:val="24"/>
          <w:szCs w:val="24"/>
        </w:rPr>
      </w:pPr>
      <w:r w:rsidRPr="005B28C1">
        <w:rPr>
          <w:sz w:val="24"/>
          <w:szCs w:val="24"/>
        </w:rPr>
        <w:t xml:space="preserve">Fully remote employees </w:t>
      </w:r>
      <w:r w:rsidR="007C090A" w:rsidRPr="005B28C1">
        <w:rPr>
          <w:sz w:val="24"/>
          <w:szCs w:val="24"/>
        </w:rPr>
        <w:t xml:space="preserve">making </w:t>
      </w:r>
      <w:r w:rsidRPr="005B28C1">
        <w:rPr>
          <w:sz w:val="24"/>
          <w:szCs w:val="24"/>
        </w:rPr>
        <w:t xml:space="preserve">occasional </w:t>
      </w:r>
      <w:r w:rsidR="007C090A" w:rsidRPr="005B28C1">
        <w:rPr>
          <w:sz w:val="24"/>
          <w:szCs w:val="24"/>
        </w:rPr>
        <w:t xml:space="preserve">trips </w:t>
      </w:r>
      <w:r w:rsidRPr="005B28C1">
        <w:rPr>
          <w:sz w:val="24"/>
          <w:szCs w:val="24"/>
        </w:rPr>
        <w:t xml:space="preserve">to campus, is </w:t>
      </w:r>
      <w:r w:rsidR="003D4A88" w:rsidRPr="005B28C1">
        <w:rPr>
          <w:sz w:val="24"/>
          <w:szCs w:val="24"/>
        </w:rPr>
        <w:t xml:space="preserve">generally </w:t>
      </w:r>
      <w:r w:rsidRPr="005B28C1">
        <w:rPr>
          <w:sz w:val="24"/>
          <w:szCs w:val="24"/>
        </w:rPr>
        <w:t xml:space="preserve">not considered commuting. </w:t>
      </w:r>
    </w:p>
    <w:p w14:paraId="198FD180" w14:textId="771E0040" w:rsidR="002F4F99" w:rsidRPr="005B28C1" w:rsidRDefault="002F4F99" w:rsidP="002F4F99">
      <w:pPr>
        <w:rPr>
          <w:rStyle w:val="ui-provider"/>
          <w:sz w:val="24"/>
          <w:szCs w:val="24"/>
        </w:rPr>
      </w:pPr>
      <w:r w:rsidRPr="005B28C1">
        <w:rPr>
          <w:b/>
          <w:bCs/>
          <w:sz w:val="24"/>
          <w:szCs w:val="24"/>
        </w:rPr>
        <w:t>Commuting Area</w:t>
      </w:r>
      <w:r w:rsidR="002B3527" w:rsidRPr="005B28C1">
        <w:rPr>
          <w:b/>
          <w:bCs/>
          <w:sz w:val="24"/>
          <w:szCs w:val="24"/>
        </w:rPr>
        <w:t>—</w:t>
      </w:r>
      <w:r w:rsidRPr="005B28C1">
        <w:rPr>
          <w:rStyle w:val="ui-provider"/>
          <w:sz w:val="24"/>
          <w:szCs w:val="24"/>
        </w:rPr>
        <w:t>Commuting area means the geographic area surrounding a primary work location that encompasses the localities where people live and reasonably can be expected to travel back and forth daily to work</w:t>
      </w:r>
      <w:r w:rsidR="00465EC3">
        <w:rPr>
          <w:rStyle w:val="ui-provider"/>
          <w:sz w:val="24"/>
          <w:szCs w:val="24"/>
        </w:rPr>
        <w:t>.</w:t>
      </w:r>
    </w:p>
    <w:p w14:paraId="3C3280F7" w14:textId="772896E6" w:rsidR="00D647F3" w:rsidRPr="005B28C1" w:rsidRDefault="00D647F3" w:rsidP="00D647F3">
      <w:pPr>
        <w:shd w:val="clear" w:color="auto" w:fill="FFFFFF"/>
        <w:spacing w:before="48" w:after="120" w:line="240" w:lineRule="auto"/>
        <w:rPr>
          <w:rFonts w:eastAsia="Times New Roman" w:cstheme="minorHAnsi"/>
          <w:color w:val="000000"/>
          <w:sz w:val="24"/>
          <w:szCs w:val="24"/>
        </w:rPr>
      </w:pPr>
      <w:r w:rsidRPr="005B28C1">
        <w:rPr>
          <w:rFonts w:eastAsia="Times New Roman" w:cstheme="minorHAnsi"/>
          <w:b/>
          <w:bCs/>
          <w:color w:val="000000"/>
          <w:sz w:val="24"/>
          <w:szCs w:val="24"/>
        </w:rPr>
        <w:t>Travel Mileage</w:t>
      </w:r>
      <w:r w:rsidR="002B3527" w:rsidRPr="005B28C1">
        <w:rPr>
          <w:rFonts w:eastAsia="Times New Roman" w:cstheme="minorHAnsi"/>
          <w:b/>
          <w:bCs/>
          <w:color w:val="000000"/>
          <w:sz w:val="24"/>
          <w:szCs w:val="24"/>
        </w:rPr>
        <w:t>—</w:t>
      </w:r>
      <w:r w:rsidRPr="005B28C1">
        <w:rPr>
          <w:rFonts w:eastAsia="Times New Roman" w:cstheme="minorHAnsi"/>
          <w:color w:val="000000"/>
          <w:sz w:val="24"/>
          <w:szCs w:val="24"/>
        </w:rPr>
        <w:t xml:space="preserve">Travel mileage begins at </w:t>
      </w:r>
      <w:r w:rsidR="008C579C">
        <w:rPr>
          <w:rFonts w:eastAsia="Times New Roman" w:cstheme="minorHAnsi"/>
          <w:color w:val="000000"/>
          <w:sz w:val="24"/>
          <w:szCs w:val="24"/>
        </w:rPr>
        <w:t>an employee’s</w:t>
      </w:r>
      <w:r w:rsidRPr="005B28C1">
        <w:rPr>
          <w:rFonts w:eastAsia="Times New Roman" w:cstheme="minorHAnsi"/>
          <w:color w:val="000000"/>
          <w:sz w:val="24"/>
          <w:szCs w:val="24"/>
        </w:rPr>
        <w:t xml:space="preserve"> residence or </w:t>
      </w:r>
      <w:r w:rsidR="003C3F7A" w:rsidRPr="005B28C1">
        <w:rPr>
          <w:rFonts w:eastAsia="Times New Roman" w:cstheme="minorHAnsi"/>
          <w:color w:val="000000"/>
          <w:sz w:val="24"/>
          <w:szCs w:val="24"/>
        </w:rPr>
        <w:t>headquarters,</w:t>
      </w:r>
      <w:r w:rsidR="00140C2B" w:rsidRPr="005B28C1">
        <w:rPr>
          <w:rFonts w:eastAsia="Times New Roman" w:cstheme="minorHAnsi"/>
          <w:color w:val="000000"/>
          <w:sz w:val="24"/>
          <w:szCs w:val="24"/>
        </w:rPr>
        <w:t xml:space="preserve"> </w:t>
      </w:r>
      <w:r w:rsidRPr="005B28C1">
        <w:rPr>
          <w:rFonts w:eastAsia="Times New Roman" w:cstheme="minorHAnsi"/>
          <w:color w:val="000000"/>
          <w:sz w:val="24"/>
          <w:szCs w:val="24"/>
        </w:rPr>
        <w:t xml:space="preserve">depending on which one is closer to </w:t>
      </w:r>
      <w:r w:rsidR="008C579C">
        <w:rPr>
          <w:rFonts w:eastAsia="Times New Roman" w:cstheme="minorHAnsi"/>
          <w:color w:val="000000"/>
          <w:sz w:val="24"/>
          <w:szCs w:val="24"/>
        </w:rPr>
        <w:t>their work</w:t>
      </w:r>
      <w:r w:rsidRPr="005B28C1">
        <w:rPr>
          <w:rFonts w:eastAsia="Times New Roman" w:cstheme="minorHAnsi"/>
          <w:color w:val="000000"/>
          <w:sz w:val="24"/>
          <w:szCs w:val="24"/>
        </w:rPr>
        <w:t xml:space="preserve"> destination. For example, John and Mary traveled to the same destination. John</w:t>
      </w:r>
      <w:r w:rsidR="00F05522" w:rsidRPr="005B28C1">
        <w:rPr>
          <w:rFonts w:eastAsia="Times New Roman" w:cstheme="minorHAnsi"/>
          <w:color w:val="000000"/>
          <w:sz w:val="24"/>
          <w:szCs w:val="24"/>
        </w:rPr>
        <w:t>’</w:t>
      </w:r>
      <w:r w:rsidRPr="005B28C1">
        <w:rPr>
          <w:rFonts w:eastAsia="Times New Roman" w:cstheme="minorHAnsi"/>
          <w:color w:val="000000"/>
          <w:sz w:val="24"/>
          <w:szCs w:val="24"/>
        </w:rPr>
        <w:t xml:space="preserve">s travel mileage began and ended at </w:t>
      </w:r>
      <w:r w:rsidR="001D3EC4" w:rsidRPr="005B28C1">
        <w:rPr>
          <w:rFonts w:eastAsia="Times New Roman" w:cstheme="minorHAnsi"/>
          <w:color w:val="000000"/>
          <w:sz w:val="24"/>
          <w:szCs w:val="24"/>
        </w:rPr>
        <w:t>UIC</w:t>
      </w:r>
      <w:r w:rsidR="003C3F7A" w:rsidRPr="005B28C1">
        <w:rPr>
          <w:rFonts w:eastAsia="Times New Roman" w:cstheme="minorHAnsi"/>
          <w:color w:val="000000"/>
          <w:sz w:val="24"/>
          <w:szCs w:val="24"/>
        </w:rPr>
        <w:t xml:space="preserve"> </w:t>
      </w:r>
      <w:r w:rsidRPr="005B28C1">
        <w:rPr>
          <w:rFonts w:eastAsia="Times New Roman" w:cstheme="minorHAnsi"/>
          <w:color w:val="000000"/>
          <w:sz w:val="24"/>
          <w:szCs w:val="24"/>
        </w:rPr>
        <w:t>because he would have had to go to and from</w:t>
      </w:r>
      <w:r w:rsidR="00D262BB" w:rsidRPr="005B28C1">
        <w:rPr>
          <w:rFonts w:eastAsia="Times New Roman" w:cstheme="minorHAnsi"/>
          <w:color w:val="000000"/>
          <w:sz w:val="24"/>
          <w:szCs w:val="24"/>
        </w:rPr>
        <w:t xml:space="preserve"> there for</w:t>
      </w:r>
      <w:r w:rsidRPr="005B28C1">
        <w:rPr>
          <w:rFonts w:eastAsia="Times New Roman" w:cstheme="minorHAnsi"/>
          <w:color w:val="000000"/>
          <w:sz w:val="24"/>
          <w:szCs w:val="24"/>
        </w:rPr>
        <w:t xml:space="preserve"> work that day even if he w</w:t>
      </w:r>
      <w:r w:rsidR="002F3D7C">
        <w:rPr>
          <w:rFonts w:eastAsia="Times New Roman" w:cstheme="minorHAnsi"/>
          <w:color w:val="000000"/>
          <w:sz w:val="24"/>
          <w:szCs w:val="24"/>
        </w:rPr>
        <w:t>as</w:t>
      </w:r>
      <w:r w:rsidRPr="005B28C1">
        <w:rPr>
          <w:rFonts w:eastAsia="Times New Roman" w:cstheme="minorHAnsi"/>
          <w:color w:val="000000"/>
          <w:sz w:val="24"/>
          <w:szCs w:val="24"/>
        </w:rPr>
        <w:t xml:space="preserve"> not traveling. Mary</w:t>
      </w:r>
      <w:r w:rsidR="00F05522" w:rsidRPr="005B28C1">
        <w:rPr>
          <w:rFonts w:eastAsia="Times New Roman" w:cstheme="minorHAnsi"/>
          <w:color w:val="000000"/>
          <w:sz w:val="24"/>
          <w:szCs w:val="24"/>
        </w:rPr>
        <w:t>’</w:t>
      </w:r>
      <w:r w:rsidRPr="005B28C1">
        <w:rPr>
          <w:rFonts w:eastAsia="Times New Roman" w:cstheme="minorHAnsi"/>
          <w:color w:val="000000"/>
          <w:sz w:val="24"/>
          <w:szCs w:val="24"/>
        </w:rPr>
        <w:t xml:space="preserve">s travel mileage began and ended at her </w:t>
      </w:r>
      <w:r w:rsidR="00086021" w:rsidRPr="005B28C1">
        <w:rPr>
          <w:rFonts w:eastAsia="Times New Roman" w:cstheme="minorHAnsi"/>
          <w:color w:val="000000"/>
          <w:sz w:val="24"/>
          <w:szCs w:val="24"/>
        </w:rPr>
        <w:t xml:space="preserve">residence </w:t>
      </w:r>
      <w:r w:rsidRPr="005B28C1">
        <w:rPr>
          <w:rFonts w:eastAsia="Times New Roman" w:cstheme="minorHAnsi"/>
          <w:color w:val="000000"/>
          <w:sz w:val="24"/>
          <w:szCs w:val="24"/>
        </w:rPr>
        <w:t xml:space="preserve">because it is closer to her </w:t>
      </w:r>
      <w:r w:rsidR="002F3D7C">
        <w:rPr>
          <w:rFonts w:eastAsia="Times New Roman" w:cstheme="minorHAnsi"/>
          <w:color w:val="000000"/>
          <w:sz w:val="24"/>
          <w:szCs w:val="24"/>
        </w:rPr>
        <w:t xml:space="preserve">work </w:t>
      </w:r>
      <w:r w:rsidRPr="005B28C1">
        <w:rPr>
          <w:rFonts w:eastAsia="Times New Roman" w:cstheme="minorHAnsi"/>
          <w:color w:val="000000"/>
          <w:sz w:val="24"/>
          <w:szCs w:val="24"/>
        </w:rPr>
        <w:t>destination than</w:t>
      </w:r>
      <w:r w:rsidR="00583B92" w:rsidRPr="005B28C1">
        <w:rPr>
          <w:rFonts w:eastAsia="Times New Roman" w:cstheme="minorHAnsi"/>
          <w:color w:val="000000"/>
          <w:sz w:val="24"/>
          <w:szCs w:val="24"/>
        </w:rPr>
        <w:t xml:space="preserve"> UIC</w:t>
      </w:r>
      <w:r w:rsidRPr="005B28C1">
        <w:rPr>
          <w:rFonts w:eastAsia="Times New Roman" w:cstheme="minorHAnsi"/>
          <w:color w:val="000000"/>
          <w:sz w:val="24"/>
          <w:szCs w:val="24"/>
        </w:rPr>
        <w:t>.</w:t>
      </w:r>
    </w:p>
    <w:p w14:paraId="76DA19A3" w14:textId="6786D970" w:rsidR="00F60FD9" w:rsidRPr="005B28C1" w:rsidRDefault="00E1207D" w:rsidP="00EE380A">
      <w:pPr>
        <w:rPr>
          <w:i/>
          <w:iCs/>
          <w:sz w:val="24"/>
          <w:szCs w:val="24"/>
        </w:rPr>
      </w:pPr>
      <w:r w:rsidRPr="005B28C1">
        <w:rPr>
          <w:i/>
          <w:iCs/>
          <w:sz w:val="24"/>
          <w:szCs w:val="24"/>
        </w:rPr>
        <w:t xml:space="preserve">Prior approval from </w:t>
      </w:r>
      <w:r w:rsidR="005415C9" w:rsidRPr="005B28C1">
        <w:rPr>
          <w:i/>
          <w:iCs/>
          <w:sz w:val="24"/>
          <w:szCs w:val="24"/>
        </w:rPr>
        <w:t>the department head</w:t>
      </w:r>
      <w:r w:rsidRPr="005B28C1">
        <w:rPr>
          <w:i/>
          <w:iCs/>
          <w:sz w:val="24"/>
          <w:szCs w:val="24"/>
        </w:rPr>
        <w:t xml:space="preserve"> is required for exceptions</w:t>
      </w:r>
      <w:r w:rsidR="004349F8" w:rsidRPr="005B28C1">
        <w:rPr>
          <w:i/>
          <w:iCs/>
          <w:sz w:val="24"/>
          <w:szCs w:val="24"/>
        </w:rPr>
        <w:t xml:space="preserve"> or</w:t>
      </w:r>
      <w:r w:rsidRPr="005B28C1">
        <w:rPr>
          <w:i/>
          <w:iCs/>
          <w:sz w:val="24"/>
          <w:szCs w:val="24"/>
        </w:rPr>
        <w:t xml:space="preserve"> special circumstances.</w:t>
      </w:r>
      <w:r w:rsidR="004349F8" w:rsidRPr="005B28C1">
        <w:rPr>
          <w:i/>
          <w:iCs/>
          <w:sz w:val="24"/>
          <w:szCs w:val="24"/>
        </w:rPr>
        <w:t xml:space="preserve"> </w:t>
      </w:r>
    </w:p>
    <w:p w14:paraId="200F61BB" w14:textId="77777777" w:rsidR="001C233D" w:rsidRPr="005B28C1" w:rsidRDefault="001C233D" w:rsidP="00EE380A">
      <w:pPr>
        <w:rPr>
          <w:sz w:val="24"/>
          <w:szCs w:val="24"/>
        </w:rPr>
      </w:pPr>
    </w:p>
    <w:p w14:paraId="178344F7" w14:textId="50AD47C8" w:rsidR="00481A0A" w:rsidRDefault="00DE2ECB" w:rsidP="00EE380A">
      <w:pPr>
        <w:rPr>
          <w:rStyle w:val="ui-provider"/>
          <w:sz w:val="24"/>
          <w:szCs w:val="24"/>
        </w:rPr>
      </w:pPr>
      <w:r>
        <w:rPr>
          <w:rStyle w:val="ui-provider"/>
          <w:b/>
          <w:bCs/>
          <w:sz w:val="24"/>
          <w:szCs w:val="24"/>
        </w:rPr>
        <w:lastRenderedPageBreak/>
        <w:t>*</w:t>
      </w:r>
      <w:r w:rsidR="000D67AD" w:rsidRPr="005B28C1">
        <w:rPr>
          <w:rStyle w:val="ui-provider"/>
          <w:sz w:val="24"/>
          <w:szCs w:val="24"/>
        </w:rPr>
        <w:t xml:space="preserve"> When departments are making the decision to reimburse fully remote employees for travel, they should be consistent in making these decisions. </w:t>
      </w:r>
    </w:p>
    <w:p w14:paraId="02FD5BF7" w14:textId="3C16693E" w:rsidR="00823909" w:rsidRPr="005B28C1" w:rsidRDefault="00823909" w:rsidP="00EE380A">
      <w:pPr>
        <w:rPr>
          <w:rStyle w:val="ui-provider"/>
          <w:sz w:val="24"/>
          <w:szCs w:val="24"/>
        </w:rPr>
      </w:pPr>
    </w:p>
    <w:p w14:paraId="42D05341" w14:textId="4AF48CBB" w:rsidR="00536614" w:rsidRPr="005B28C1" w:rsidRDefault="00536614" w:rsidP="00EE380A">
      <w:pPr>
        <w:rPr>
          <w:rStyle w:val="ui-provider"/>
          <w:b/>
          <w:bCs/>
          <w:sz w:val="24"/>
          <w:szCs w:val="24"/>
        </w:rPr>
      </w:pPr>
      <w:r w:rsidRPr="005B28C1">
        <w:rPr>
          <w:rStyle w:val="ui-provider"/>
          <w:b/>
          <w:bCs/>
          <w:sz w:val="24"/>
          <w:szCs w:val="24"/>
        </w:rPr>
        <w:t>Resources:</w:t>
      </w:r>
    </w:p>
    <w:p w14:paraId="63787A69" w14:textId="6630759C" w:rsidR="001C233D" w:rsidRPr="005B28C1" w:rsidRDefault="001C233D" w:rsidP="001C233D">
      <w:pPr>
        <w:pStyle w:val="ListParagraph"/>
        <w:numPr>
          <w:ilvl w:val="0"/>
          <w:numId w:val="11"/>
        </w:numPr>
        <w:rPr>
          <w:rStyle w:val="Hyperlink"/>
          <w:rFonts w:asciiTheme="minorHAnsi" w:hAnsiTheme="minorHAnsi" w:cstheme="minorHAnsi"/>
          <w:color w:val="auto"/>
          <w:sz w:val="24"/>
          <w:szCs w:val="24"/>
          <w:u w:val="none"/>
        </w:rPr>
      </w:pPr>
      <w:r w:rsidRPr="005B28C1">
        <w:rPr>
          <w:rFonts w:asciiTheme="minorHAnsi" w:hAnsiTheme="minorHAnsi" w:cstheme="minorHAnsi"/>
          <w:sz w:val="24"/>
          <w:szCs w:val="24"/>
        </w:rPr>
        <w:t xml:space="preserve">State of Illinois </w:t>
      </w:r>
      <w:r w:rsidRPr="005B28C1">
        <w:rPr>
          <w:sz w:val="24"/>
          <w:szCs w:val="24"/>
        </w:rPr>
        <w:t>The Legislative Travel Control Board T</w:t>
      </w:r>
      <w:r w:rsidRPr="005B28C1">
        <w:rPr>
          <w:rFonts w:asciiTheme="minorHAnsi" w:hAnsiTheme="minorHAnsi" w:cstheme="minorHAnsi"/>
          <w:sz w:val="24"/>
          <w:szCs w:val="24"/>
        </w:rPr>
        <w:t xml:space="preserve">ravel Guide: </w:t>
      </w:r>
      <w:hyperlink r:id="rId12" w:history="1">
        <w:r w:rsidRPr="005B28C1">
          <w:rPr>
            <w:rStyle w:val="Hyperlink"/>
            <w:rFonts w:asciiTheme="minorHAnsi" w:hAnsiTheme="minorHAnsi" w:cstheme="minorHAnsi"/>
            <w:sz w:val="24"/>
            <w:szCs w:val="24"/>
          </w:rPr>
          <w:t>https://www.auditor.illinois.gov/Legislative-Travel-Control-Board/Travel-Guide.pdf</w:t>
        </w:r>
      </w:hyperlink>
    </w:p>
    <w:p w14:paraId="2E07ED67" w14:textId="3B23B235" w:rsidR="001C233D" w:rsidRPr="005B28C1" w:rsidRDefault="00000000" w:rsidP="001C233D">
      <w:pPr>
        <w:pStyle w:val="ListParagraph"/>
        <w:numPr>
          <w:ilvl w:val="0"/>
          <w:numId w:val="11"/>
        </w:numPr>
        <w:rPr>
          <w:rFonts w:asciiTheme="minorHAnsi" w:hAnsiTheme="minorHAnsi" w:cstheme="minorHAnsi"/>
          <w:sz w:val="24"/>
          <w:szCs w:val="24"/>
        </w:rPr>
      </w:pPr>
      <w:hyperlink r:id="rId13" w:history="1">
        <w:r w:rsidR="001C233D" w:rsidRPr="005B28C1">
          <w:rPr>
            <w:rStyle w:val="Hyperlink"/>
            <w:rFonts w:asciiTheme="minorHAnsi" w:hAnsiTheme="minorHAnsi" w:cstheme="minorHAnsi"/>
            <w:sz w:val="24"/>
            <w:szCs w:val="24"/>
          </w:rPr>
          <w:t>https://ilga.gov/legislation/ilcs/documents/003001050K12-3.htm</w:t>
        </w:r>
      </w:hyperlink>
      <w:r w:rsidR="001C233D" w:rsidRPr="005B28C1">
        <w:rPr>
          <w:rFonts w:asciiTheme="minorHAnsi" w:hAnsiTheme="minorHAnsi" w:cstheme="minorHAnsi"/>
          <w:sz w:val="24"/>
          <w:szCs w:val="24"/>
        </w:rPr>
        <w:t xml:space="preserve"> </w:t>
      </w:r>
    </w:p>
    <w:p w14:paraId="012B4497" w14:textId="526614CE" w:rsidR="001C233D" w:rsidRPr="005B28C1" w:rsidRDefault="001C233D" w:rsidP="001C233D">
      <w:pPr>
        <w:pStyle w:val="ListParagraph"/>
        <w:numPr>
          <w:ilvl w:val="0"/>
          <w:numId w:val="11"/>
        </w:numPr>
        <w:rPr>
          <w:rStyle w:val="Hyperlink"/>
          <w:rFonts w:asciiTheme="minorHAnsi" w:hAnsiTheme="minorHAnsi" w:cstheme="minorHAnsi"/>
          <w:color w:val="auto"/>
          <w:sz w:val="24"/>
          <w:szCs w:val="24"/>
          <w:u w:val="none"/>
        </w:rPr>
      </w:pPr>
      <w:r w:rsidRPr="005B28C1">
        <w:rPr>
          <w:sz w:val="24"/>
          <w:szCs w:val="24"/>
        </w:rPr>
        <w:t xml:space="preserve">State of Illinois Joint Committee on Administrative Rules: </w:t>
      </w:r>
      <w:hyperlink r:id="rId14" w:history="1">
        <w:r w:rsidRPr="005B28C1">
          <w:rPr>
            <w:rStyle w:val="Hyperlink"/>
            <w:rFonts w:asciiTheme="minorHAnsi" w:hAnsiTheme="minorHAnsi" w:cstheme="minorHAnsi"/>
            <w:sz w:val="24"/>
            <w:szCs w:val="24"/>
          </w:rPr>
          <w:t>https://www.ilga.gov/commission/jcar/admincode/080/080029000A00100R.html</w:t>
        </w:r>
      </w:hyperlink>
    </w:p>
    <w:p w14:paraId="484A92F4" w14:textId="6B698FE5" w:rsidR="001C233D" w:rsidRPr="005B28C1" w:rsidRDefault="001C233D" w:rsidP="001C233D">
      <w:pPr>
        <w:pStyle w:val="ListParagraph"/>
        <w:numPr>
          <w:ilvl w:val="0"/>
          <w:numId w:val="11"/>
        </w:numPr>
        <w:rPr>
          <w:rStyle w:val="Hyperlink"/>
          <w:rFonts w:asciiTheme="minorHAnsi" w:hAnsiTheme="minorHAnsi" w:cstheme="minorHAnsi"/>
          <w:color w:val="auto"/>
          <w:sz w:val="24"/>
          <w:szCs w:val="24"/>
          <w:u w:val="none"/>
        </w:rPr>
      </w:pPr>
      <w:r w:rsidRPr="005B28C1">
        <w:rPr>
          <w:rStyle w:val="Hyperlink"/>
          <w:rFonts w:asciiTheme="minorHAnsi" w:hAnsiTheme="minorHAnsi" w:cstheme="minorHAnsi"/>
          <w:color w:val="000000"/>
          <w:sz w:val="24"/>
          <w:szCs w:val="24"/>
          <w:u w:val="none"/>
        </w:rPr>
        <w:t>IRS Information</w:t>
      </w:r>
      <w:r w:rsidR="00E57D1E">
        <w:rPr>
          <w:rStyle w:val="Hyperlink"/>
          <w:rFonts w:asciiTheme="minorHAnsi" w:hAnsiTheme="minorHAnsi" w:cstheme="minorHAnsi"/>
          <w:color w:val="000000"/>
          <w:sz w:val="24"/>
          <w:szCs w:val="24"/>
          <w:u w:val="none"/>
        </w:rPr>
        <w:t xml:space="preserve"> (</w:t>
      </w:r>
      <w:r w:rsidR="00BB504B">
        <w:rPr>
          <w:rStyle w:val="Hyperlink"/>
          <w:rFonts w:asciiTheme="minorHAnsi" w:hAnsiTheme="minorHAnsi" w:cstheme="minorHAnsi"/>
          <w:color w:val="000000"/>
          <w:sz w:val="24"/>
          <w:szCs w:val="24"/>
          <w:u w:val="none"/>
        </w:rPr>
        <w:t>See page 3)</w:t>
      </w:r>
    </w:p>
    <w:p w14:paraId="712FA0BA" w14:textId="6CA047CB" w:rsidR="005B28C1" w:rsidRPr="005B28C1" w:rsidRDefault="00000000" w:rsidP="001C233D">
      <w:pPr>
        <w:pStyle w:val="ListParagraph"/>
        <w:numPr>
          <w:ilvl w:val="0"/>
          <w:numId w:val="11"/>
        </w:numPr>
        <w:rPr>
          <w:rStyle w:val="Hyperlink"/>
          <w:rFonts w:asciiTheme="minorHAnsi" w:hAnsiTheme="minorHAnsi" w:cstheme="minorHAnsi"/>
          <w:color w:val="auto"/>
          <w:sz w:val="24"/>
          <w:szCs w:val="24"/>
          <w:u w:val="none"/>
        </w:rPr>
      </w:pPr>
      <w:hyperlink r:id="rId15" w:history="1">
        <w:r w:rsidR="005B28C1" w:rsidRPr="005B28C1">
          <w:rPr>
            <w:rStyle w:val="Hyperlink"/>
            <w:sz w:val="24"/>
            <w:szCs w:val="24"/>
          </w:rPr>
          <w:t xml:space="preserve">5 CFR 550.703 Definitions </w:t>
        </w:r>
      </w:hyperlink>
    </w:p>
    <w:p w14:paraId="3E093014" w14:textId="4032F5C6" w:rsidR="00445E5A" w:rsidRDefault="00445E5A">
      <w:pPr>
        <w:rPr>
          <w:rFonts w:eastAsia="Times New Roman" w:cstheme="minorHAnsi"/>
          <w:color w:val="000000"/>
          <w:sz w:val="24"/>
          <w:szCs w:val="24"/>
        </w:rPr>
      </w:pPr>
      <w:r>
        <w:rPr>
          <w:rFonts w:eastAsia="Times New Roman" w:cstheme="minorHAnsi"/>
          <w:color w:val="000000"/>
          <w:sz w:val="24"/>
          <w:szCs w:val="24"/>
        </w:rPr>
        <w:br w:type="page"/>
      </w:r>
    </w:p>
    <w:p w14:paraId="7E0B92AE" w14:textId="77777777" w:rsidR="001041C8" w:rsidRPr="005B28C1" w:rsidRDefault="001041C8" w:rsidP="00E1207D">
      <w:pPr>
        <w:shd w:val="clear" w:color="auto" w:fill="FFFFFF"/>
        <w:spacing w:before="48" w:after="120" w:line="240" w:lineRule="auto"/>
        <w:rPr>
          <w:rFonts w:eastAsia="Times New Roman" w:cstheme="minorHAnsi"/>
          <w:color w:val="000000"/>
          <w:sz w:val="24"/>
          <w:szCs w:val="24"/>
        </w:rPr>
      </w:pPr>
    </w:p>
    <w:p w14:paraId="6EE7FF0B" w14:textId="3DF965F6" w:rsidR="00B24BBA" w:rsidRDefault="00B24BBA" w:rsidP="000D1E21">
      <w:pPr>
        <w:shd w:val="clear" w:color="auto" w:fill="FFFFFF" w:themeFill="background1"/>
        <w:spacing w:before="48" w:after="120" w:line="240" w:lineRule="auto"/>
        <w:rPr>
          <w:rFonts w:eastAsia="Times New Roman" w:cstheme="minorHAnsi"/>
          <w:b/>
          <w:bCs/>
          <w:color w:val="000000"/>
          <w:sz w:val="24"/>
          <w:szCs w:val="24"/>
        </w:rPr>
      </w:pPr>
      <w:r>
        <w:rPr>
          <w:rFonts w:eastAsia="Times New Roman" w:cstheme="minorHAnsi"/>
          <w:b/>
          <w:bCs/>
          <w:color w:val="000000"/>
          <w:sz w:val="24"/>
          <w:szCs w:val="24"/>
        </w:rPr>
        <w:t>Headquarters and Travel Status</w:t>
      </w:r>
    </w:p>
    <w:p w14:paraId="3DA25E09" w14:textId="3525317B" w:rsidR="000D1E21" w:rsidRPr="005B28C1" w:rsidRDefault="000D1E21" w:rsidP="000D1E21">
      <w:pPr>
        <w:shd w:val="clear" w:color="auto" w:fill="FFFFFF" w:themeFill="background1"/>
        <w:spacing w:before="48" w:after="120" w:line="240" w:lineRule="auto"/>
        <w:rPr>
          <w:rFonts w:eastAsia="Times New Roman" w:cstheme="minorHAnsi"/>
          <w:color w:val="000000"/>
          <w:sz w:val="24"/>
          <w:szCs w:val="24"/>
        </w:rPr>
      </w:pPr>
      <w:r w:rsidRPr="005B28C1">
        <w:rPr>
          <w:rFonts w:eastAsia="Times New Roman" w:cstheme="minorHAnsi"/>
          <w:color w:val="000000"/>
          <w:sz w:val="24"/>
          <w:szCs w:val="24"/>
        </w:rPr>
        <w:t>For tax purposes:</w:t>
      </w:r>
    </w:p>
    <w:p w14:paraId="18FE4B53" w14:textId="77777777" w:rsidR="000D1E21" w:rsidRPr="005B28C1" w:rsidRDefault="000D1E21" w:rsidP="000D1E21">
      <w:pPr>
        <w:pStyle w:val="ListParagraph"/>
        <w:numPr>
          <w:ilvl w:val="0"/>
          <w:numId w:val="8"/>
        </w:numPr>
        <w:shd w:val="clear" w:color="auto" w:fill="FFFFFF" w:themeFill="background1"/>
        <w:spacing w:before="48" w:after="120"/>
        <w:rPr>
          <w:rFonts w:asciiTheme="minorHAnsi" w:eastAsia="Times New Roman" w:hAnsiTheme="minorHAnsi" w:cstheme="minorHAnsi"/>
          <w:color w:val="000000"/>
          <w:sz w:val="24"/>
          <w:szCs w:val="24"/>
        </w:rPr>
      </w:pPr>
      <w:r w:rsidRPr="005B28C1">
        <w:rPr>
          <w:rFonts w:asciiTheme="minorHAnsi" w:eastAsia="Times New Roman" w:hAnsiTheme="minorHAnsi" w:cstheme="minorHAnsi"/>
          <w:color w:val="000000"/>
          <w:sz w:val="24"/>
          <w:szCs w:val="24"/>
        </w:rPr>
        <w:t xml:space="preserve">The IRS does not define headquarters. The IRS defines tax home as </w:t>
      </w:r>
      <w:r w:rsidRPr="005B28C1">
        <w:rPr>
          <w:rFonts w:asciiTheme="minorHAnsi" w:eastAsia="Times New Roman" w:hAnsiTheme="minorHAnsi" w:cstheme="minorHAnsi"/>
          <w:sz w:val="24"/>
          <w:szCs w:val="24"/>
        </w:rPr>
        <w:t>the general area or vicinity in which an individual’s regular place of business, employment, or post of duty is centered (otherwise known as the principal business or employment location), regardless of where the personal residence is maintained.</w:t>
      </w:r>
    </w:p>
    <w:p w14:paraId="6E9C70A3" w14:textId="77777777" w:rsidR="000D1E21" w:rsidRPr="005B28C1" w:rsidRDefault="000D1E21" w:rsidP="000D1E21">
      <w:pPr>
        <w:pStyle w:val="ListParagraph"/>
        <w:numPr>
          <w:ilvl w:val="0"/>
          <w:numId w:val="8"/>
        </w:numPr>
        <w:shd w:val="clear" w:color="auto" w:fill="FFFFFF"/>
        <w:spacing w:before="48" w:after="120"/>
        <w:rPr>
          <w:rFonts w:asciiTheme="minorHAnsi" w:eastAsia="Times New Roman" w:hAnsiTheme="minorHAnsi" w:cstheme="minorHAnsi"/>
          <w:color w:val="000000"/>
          <w:sz w:val="24"/>
          <w:szCs w:val="24"/>
        </w:rPr>
      </w:pPr>
      <w:r w:rsidRPr="005B28C1">
        <w:rPr>
          <w:rFonts w:asciiTheme="minorHAnsi" w:eastAsia="Times New Roman" w:hAnsiTheme="minorHAnsi" w:cstheme="minorHAnsi"/>
          <w:color w:val="000000"/>
          <w:sz w:val="24"/>
          <w:szCs w:val="24"/>
        </w:rPr>
        <w:t>Commuting is defined as travel from the employee’s home to one or more places of business. The IRS does not place a mileage limitation for commuting purposes. Reimbursements for commuting are taxable.</w:t>
      </w:r>
    </w:p>
    <w:p w14:paraId="029A13FB" w14:textId="402CE28F" w:rsidR="000D1E21" w:rsidRPr="005B28C1" w:rsidRDefault="000B2220" w:rsidP="000D1E21">
      <w:pPr>
        <w:pStyle w:val="ListParagraph"/>
        <w:numPr>
          <w:ilvl w:val="0"/>
          <w:numId w:val="8"/>
        </w:numPr>
        <w:shd w:val="clear" w:color="auto" w:fill="FFFFFF"/>
        <w:autoSpaceDE w:val="0"/>
        <w:autoSpaceDN w:val="0"/>
        <w:spacing w:before="48"/>
        <w:rPr>
          <w:rFonts w:asciiTheme="minorHAnsi" w:eastAsia="Times New Roman" w:hAnsiTheme="minorHAnsi" w:cstheme="minorHAnsi"/>
          <w:sz w:val="24"/>
          <w:szCs w:val="24"/>
        </w:rPr>
      </w:pPr>
      <w:r>
        <w:rPr>
          <w:rFonts w:asciiTheme="minorHAnsi" w:eastAsia="Times New Roman" w:hAnsiTheme="minorHAnsi" w:cstheme="minorHAnsi"/>
          <w:sz w:val="24"/>
          <w:szCs w:val="24"/>
        </w:rPr>
        <w:t>To meet the convenience of the employer tax rules</w:t>
      </w:r>
      <w:r w:rsidR="009633B2" w:rsidRPr="005B28C1">
        <w:rPr>
          <w:rFonts w:asciiTheme="minorHAnsi" w:eastAsia="Times New Roman" w:hAnsiTheme="minorHAnsi" w:cstheme="minorHAnsi"/>
          <w:sz w:val="24"/>
          <w:szCs w:val="24"/>
        </w:rPr>
        <w:t>,</w:t>
      </w:r>
      <w:r w:rsidR="000D1E21" w:rsidRPr="005B28C1">
        <w:rPr>
          <w:rFonts w:asciiTheme="minorHAnsi" w:eastAsia="Times New Roman" w:hAnsiTheme="minorHAnsi" w:cstheme="minorHAnsi"/>
          <w:sz w:val="24"/>
          <w:szCs w:val="24"/>
        </w:rPr>
        <w:t xml:space="preserve"> the employee’s principal place of business is an employee’s home if it is required by the employer. If workspace is provided by the employer, working remotely is not considered for the convenience of the employer. If an employee requests to work remotely as opposed to being required by the employer, travel to and from the employee’s home and the employer is commuting.</w:t>
      </w:r>
    </w:p>
    <w:p w14:paraId="6BFD33E9" w14:textId="77777777" w:rsidR="000D1E21" w:rsidRPr="005B28C1" w:rsidRDefault="000D1E21" w:rsidP="000D1E21">
      <w:pPr>
        <w:pStyle w:val="ListParagraph"/>
        <w:numPr>
          <w:ilvl w:val="0"/>
          <w:numId w:val="8"/>
        </w:numPr>
        <w:shd w:val="clear" w:color="auto" w:fill="FFFFFF" w:themeFill="background1"/>
        <w:spacing w:before="48"/>
        <w:rPr>
          <w:rFonts w:asciiTheme="minorHAnsi" w:eastAsia="Times New Roman" w:hAnsiTheme="minorHAnsi" w:cstheme="minorHAnsi"/>
          <w:color w:val="000000"/>
          <w:sz w:val="24"/>
          <w:szCs w:val="24"/>
        </w:rPr>
      </w:pPr>
      <w:r w:rsidRPr="005B28C1">
        <w:rPr>
          <w:rFonts w:asciiTheme="minorHAnsi" w:eastAsia="Times New Roman" w:hAnsiTheme="minorHAnsi" w:cstheme="minorHAnsi"/>
          <w:color w:val="000000"/>
          <w:sz w:val="24"/>
          <w:szCs w:val="24"/>
        </w:rPr>
        <w:t>The location of an employee’s principal place of business is determined by:</w:t>
      </w:r>
    </w:p>
    <w:p w14:paraId="6BBD6688" w14:textId="77777777" w:rsidR="000D1E21" w:rsidRPr="005B28C1" w:rsidRDefault="000D1E21" w:rsidP="000D1E21">
      <w:pPr>
        <w:pStyle w:val="ListParagraph"/>
        <w:numPr>
          <w:ilvl w:val="0"/>
          <w:numId w:val="9"/>
        </w:numPr>
        <w:shd w:val="clear" w:color="auto" w:fill="FFFFFF" w:themeFill="background1"/>
        <w:spacing w:before="48"/>
        <w:rPr>
          <w:rFonts w:asciiTheme="minorHAnsi" w:eastAsia="Times New Roman" w:hAnsiTheme="minorHAnsi" w:cstheme="minorHAnsi"/>
          <w:color w:val="000000"/>
          <w:sz w:val="24"/>
          <w:szCs w:val="24"/>
        </w:rPr>
      </w:pPr>
      <w:r w:rsidRPr="005B28C1">
        <w:rPr>
          <w:rFonts w:asciiTheme="minorHAnsi" w:eastAsia="Times New Roman" w:hAnsiTheme="minorHAnsi" w:cstheme="minorHAnsi"/>
          <w:color w:val="000000"/>
          <w:sz w:val="24"/>
          <w:szCs w:val="24"/>
        </w:rPr>
        <w:t>The relative importance of the activities performed at each place where employees conduct business and</w:t>
      </w:r>
    </w:p>
    <w:p w14:paraId="5C136E1C" w14:textId="77777777" w:rsidR="000D1E21" w:rsidRPr="005B28C1" w:rsidRDefault="000D1E21" w:rsidP="000D1E21">
      <w:pPr>
        <w:pStyle w:val="ListParagraph"/>
        <w:numPr>
          <w:ilvl w:val="0"/>
          <w:numId w:val="9"/>
        </w:numPr>
        <w:shd w:val="clear" w:color="auto" w:fill="FFFFFF" w:themeFill="background1"/>
        <w:spacing w:before="48"/>
        <w:rPr>
          <w:rFonts w:asciiTheme="minorHAnsi" w:eastAsia="Times New Roman" w:hAnsiTheme="minorHAnsi" w:cstheme="minorHAnsi"/>
          <w:color w:val="000000"/>
          <w:sz w:val="24"/>
          <w:szCs w:val="24"/>
        </w:rPr>
      </w:pPr>
      <w:r w:rsidRPr="005B28C1">
        <w:rPr>
          <w:rFonts w:asciiTheme="minorHAnsi" w:eastAsia="Times New Roman" w:hAnsiTheme="minorHAnsi" w:cstheme="minorHAnsi"/>
          <w:color w:val="000000"/>
          <w:sz w:val="24"/>
          <w:szCs w:val="24"/>
        </w:rPr>
        <w:t>The amount of time spent at each place where business is conducted.</w:t>
      </w:r>
    </w:p>
    <w:p w14:paraId="70740801" w14:textId="316A3A33" w:rsidR="000D1E21" w:rsidRPr="005B28C1" w:rsidRDefault="000D1E21" w:rsidP="000D1E21">
      <w:pPr>
        <w:shd w:val="clear" w:color="auto" w:fill="FFFFFF" w:themeFill="background1"/>
        <w:spacing w:before="48"/>
        <w:ind w:left="720"/>
        <w:rPr>
          <w:rFonts w:cstheme="minorHAnsi"/>
          <w:sz w:val="24"/>
          <w:szCs w:val="24"/>
        </w:rPr>
      </w:pPr>
      <w:r w:rsidRPr="005B28C1">
        <w:rPr>
          <w:rFonts w:eastAsia="Times New Roman" w:cstheme="minorHAnsi"/>
          <w:color w:val="000000"/>
          <w:sz w:val="24"/>
          <w:szCs w:val="24"/>
        </w:rPr>
        <w:t>In addition, c</w:t>
      </w:r>
      <w:r w:rsidRPr="005B28C1">
        <w:rPr>
          <w:rFonts w:cstheme="minorHAnsi"/>
          <w:sz w:val="24"/>
          <w:szCs w:val="24"/>
        </w:rPr>
        <w:t>ertain IRS rules must be met for an employee’s home office to be considered their principal place of business. The space must be used exclusively on a regular basis as the employee’s principal place of business. Also, it must be at the convenience of the employer. If the employer provides a primary onsite work location (whether designated, shared-assigned, or hoteling space), then a residence generally would not qualify as a principal place of business.</w:t>
      </w:r>
      <w:r w:rsidRPr="005B28C1">
        <w:rPr>
          <w:rFonts w:cstheme="minorHAnsi"/>
          <w:color w:val="000000"/>
          <w:sz w:val="24"/>
          <w:szCs w:val="24"/>
        </w:rPr>
        <w:t xml:space="preserve"> </w:t>
      </w:r>
    </w:p>
    <w:p w14:paraId="38B15B81" w14:textId="77777777" w:rsidR="000D1E21" w:rsidRPr="005B28C1" w:rsidRDefault="000D1E21" w:rsidP="00E1207D">
      <w:pPr>
        <w:shd w:val="clear" w:color="auto" w:fill="FFFFFF"/>
        <w:spacing w:before="48" w:after="120" w:line="240" w:lineRule="auto"/>
        <w:rPr>
          <w:rFonts w:eastAsia="Times New Roman" w:cstheme="minorHAnsi"/>
          <w:color w:val="000000"/>
          <w:sz w:val="24"/>
          <w:szCs w:val="24"/>
        </w:rPr>
      </w:pPr>
    </w:p>
    <w:sectPr w:rsidR="000D1E21" w:rsidRPr="005B28C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2A0A" w14:textId="77777777" w:rsidR="000537BF" w:rsidRDefault="000537BF" w:rsidP="006F40B6">
      <w:pPr>
        <w:spacing w:after="0" w:line="240" w:lineRule="auto"/>
      </w:pPr>
      <w:r>
        <w:separator/>
      </w:r>
    </w:p>
  </w:endnote>
  <w:endnote w:type="continuationSeparator" w:id="0">
    <w:p w14:paraId="69CC26B1" w14:textId="77777777" w:rsidR="000537BF" w:rsidRDefault="000537BF" w:rsidP="006F40B6">
      <w:pPr>
        <w:spacing w:after="0" w:line="240" w:lineRule="auto"/>
      </w:pPr>
      <w:r>
        <w:continuationSeparator/>
      </w:r>
    </w:p>
  </w:endnote>
  <w:endnote w:type="continuationNotice" w:id="1">
    <w:p w14:paraId="78813880" w14:textId="77777777" w:rsidR="000537BF" w:rsidRDefault="00053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orld">
    <w:altName w:val="Arial"/>
    <w:charset w:val="00"/>
    <w:family w:val="auto"/>
    <w:pitch w:val="default"/>
  </w:font>
  <w:font w:name="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01046"/>
      <w:docPartObj>
        <w:docPartGallery w:val="Page Numbers (Bottom of Page)"/>
        <w:docPartUnique/>
      </w:docPartObj>
    </w:sdtPr>
    <w:sdtEndPr>
      <w:rPr>
        <w:noProof/>
      </w:rPr>
    </w:sdtEndPr>
    <w:sdtContent>
      <w:p w14:paraId="5F6A46BA" w14:textId="765B0DFF" w:rsidR="00911146" w:rsidRDefault="009111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B577E" w14:textId="77777777" w:rsidR="00911146" w:rsidRDefault="0091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7CD" w14:textId="77777777" w:rsidR="000537BF" w:rsidRDefault="000537BF" w:rsidP="006F40B6">
      <w:pPr>
        <w:spacing w:after="0" w:line="240" w:lineRule="auto"/>
      </w:pPr>
      <w:r>
        <w:separator/>
      </w:r>
    </w:p>
  </w:footnote>
  <w:footnote w:type="continuationSeparator" w:id="0">
    <w:p w14:paraId="13741A16" w14:textId="77777777" w:rsidR="000537BF" w:rsidRDefault="000537BF" w:rsidP="006F40B6">
      <w:pPr>
        <w:spacing w:after="0" w:line="240" w:lineRule="auto"/>
      </w:pPr>
      <w:r>
        <w:continuationSeparator/>
      </w:r>
    </w:p>
  </w:footnote>
  <w:footnote w:type="continuationNotice" w:id="1">
    <w:p w14:paraId="338775BE" w14:textId="77777777" w:rsidR="000537BF" w:rsidRDefault="000537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1DA"/>
    <w:multiLevelType w:val="hybridMultilevel"/>
    <w:tmpl w:val="7CDCAA5A"/>
    <w:lvl w:ilvl="0" w:tplc="43267E7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707630"/>
    <w:multiLevelType w:val="hybridMultilevel"/>
    <w:tmpl w:val="78805890"/>
    <w:lvl w:ilvl="0" w:tplc="2278DE2E">
      <w:start w:val="1"/>
      <w:numFmt w:val="decimal"/>
      <w:lvlText w:val="%1)"/>
      <w:lvlJc w:val="left"/>
      <w:pPr>
        <w:tabs>
          <w:tab w:val="num" w:pos="1800"/>
        </w:tabs>
        <w:ind w:left="1800" w:hanging="360"/>
      </w:pPr>
      <w:rPr>
        <w:rFonts w:hint="default"/>
      </w:rPr>
    </w:lvl>
    <w:lvl w:ilvl="1" w:tplc="FA4028B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2DC33C8"/>
    <w:multiLevelType w:val="hybridMultilevel"/>
    <w:tmpl w:val="91086F28"/>
    <w:lvl w:ilvl="0" w:tplc="3998FC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AE1CD2"/>
    <w:multiLevelType w:val="hybridMultilevel"/>
    <w:tmpl w:val="91A4C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7A2F3E"/>
    <w:multiLevelType w:val="hybridMultilevel"/>
    <w:tmpl w:val="BC60595A"/>
    <w:lvl w:ilvl="0" w:tplc="7E504A7A">
      <w:start w:val="1"/>
      <w:numFmt w:val="decimal"/>
      <w:lvlText w:val="(%1)"/>
      <w:lvlJc w:val="left"/>
      <w:pPr>
        <w:tabs>
          <w:tab w:val="num" w:pos="1800"/>
        </w:tabs>
        <w:ind w:left="1800" w:hanging="360"/>
      </w:pPr>
      <w:rPr>
        <w:rFonts w:hint="default"/>
      </w:rPr>
    </w:lvl>
    <w:lvl w:ilvl="1" w:tplc="44001CE0">
      <w:numFmt w:val="bullet"/>
      <w:lvlText w:val="-"/>
      <w:lvlJc w:val="left"/>
      <w:pPr>
        <w:tabs>
          <w:tab w:val="num" w:pos="2520"/>
        </w:tabs>
        <w:ind w:left="2520" w:hanging="360"/>
      </w:pPr>
      <w:rPr>
        <w:rFonts w:ascii="Times New Roman" w:eastAsia="Times New Roman" w:hAnsi="Times New Roman" w:cs="Times New Roman" w:hint="default"/>
      </w:rPr>
    </w:lvl>
    <w:lvl w:ilvl="2" w:tplc="2876BF92">
      <w:start w:val="23"/>
      <w:numFmt w:val="bullet"/>
      <w:lvlText w:val=""/>
      <w:lvlJc w:val="left"/>
      <w:pPr>
        <w:tabs>
          <w:tab w:val="num" w:pos="3420"/>
        </w:tabs>
        <w:ind w:left="3420" w:hanging="360"/>
      </w:pPr>
      <w:rPr>
        <w:rFonts w:ascii="Wingdings" w:eastAsia="Times New Roman" w:hAnsi="Wingdings"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014007A"/>
    <w:multiLevelType w:val="hybridMultilevel"/>
    <w:tmpl w:val="3B52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D1051"/>
    <w:multiLevelType w:val="hybridMultilevel"/>
    <w:tmpl w:val="0010A3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901CB6"/>
    <w:multiLevelType w:val="hybridMultilevel"/>
    <w:tmpl w:val="274AB754"/>
    <w:lvl w:ilvl="0" w:tplc="5942CFB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237162"/>
    <w:multiLevelType w:val="hybridMultilevel"/>
    <w:tmpl w:val="905E0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41E49"/>
    <w:multiLevelType w:val="hybridMultilevel"/>
    <w:tmpl w:val="1840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42E9F"/>
    <w:multiLevelType w:val="hybridMultilevel"/>
    <w:tmpl w:val="4202BC8E"/>
    <w:lvl w:ilvl="0" w:tplc="688C261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855727152">
    <w:abstractNumId w:val="10"/>
  </w:num>
  <w:num w:numId="2" w16cid:durableId="348070922">
    <w:abstractNumId w:val="2"/>
  </w:num>
  <w:num w:numId="3" w16cid:durableId="1772623664">
    <w:abstractNumId w:val="1"/>
  </w:num>
  <w:num w:numId="4" w16cid:durableId="2094400162">
    <w:abstractNumId w:val="4"/>
  </w:num>
  <w:num w:numId="5" w16cid:durableId="1742678378">
    <w:abstractNumId w:val="7"/>
  </w:num>
  <w:num w:numId="6" w16cid:durableId="992222314">
    <w:abstractNumId w:val="0"/>
  </w:num>
  <w:num w:numId="7" w16cid:durableId="1163854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5155924">
    <w:abstractNumId w:val="9"/>
  </w:num>
  <w:num w:numId="9" w16cid:durableId="163933558">
    <w:abstractNumId w:val="6"/>
  </w:num>
  <w:num w:numId="10" w16cid:durableId="1000085356">
    <w:abstractNumId w:val="5"/>
  </w:num>
  <w:num w:numId="11" w16cid:durableId="2075397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F3"/>
    <w:rsid w:val="00020A75"/>
    <w:rsid w:val="00025379"/>
    <w:rsid w:val="000339A4"/>
    <w:rsid w:val="000426C7"/>
    <w:rsid w:val="00044A79"/>
    <w:rsid w:val="00047851"/>
    <w:rsid w:val="000537BF"/>
    <w:rsid w:val="00065CE5"/>
    <w:rsid w:val="00072CC9"/>
    <w:rsid w:val="00086021"/>
    <w:rsid w:val="000918C3"/>
    <w:rsid w:val="00095058"/>
    <w:rsid w:val="00096BD9"/>
    <w:rsid w:val="000B2220"/>
    <w:rsid w:val="000C7C37"/>
    <w:rsid w:val="000D1E21"/>
    <w:rsid w:val="000D5F57"/>
    <w:rsid w:val="000D67AD"/>
    <w:rsid w:val="000E3FAA"/>
    <w:rsid w:val="000F746B"/>
    <w:rsid w:val="00100F05"/>
    <w:rsid w:val="001041C8"/>
    <w:rsid w:val="001050DF"/>
    <w:rsid w:val="00124229"/>
    <w:rsid w:val="0012739F"/>
    <w:rsid w:val="001404E4"/>
    <w:rsid w:val="00140C2B"/>
    <w:rsid w:val="00144A6E"/>
    <w:rsid w:val="00157F5D"/>
    <w:rsid w:val="00192F2B"/>
    <w:rsid w:val="00194422"/>
    <w:rsid w:val="00195983"/>
    <w:rsid w:val="001A211B"/>
    <w:rsid w:val="001C233D"/>
    <w:rsid w:val="001D3EC4"/>
    <w:rsid w:val="001E095A"/>
    <w:rsid w:val="001F1E89"/>
    <w:rsid w:val="0021720E"/>
    <w:rsid w:val="00231619"/>
    <w:rsid w:val="00231EA7"/>
    <w:rsid w:val="00237956"/>
    <w:rsid w:val="002458BF"/>
    <w:rsid w:val="00262F5B"/>
    <w:rsid w:val="00264FD9"/>
    <w:rsid w:val="002826C8"/>
    <w:rsid w:val="002A3608"/>
    <w:rsid w:val="002A52F8"/>
    <w:rsid w:val="002B057C"/>
    <w:rsid w:val="002B3527"/>
    <w:rsid w:val="002C48B5"/>
    <w:rsid w:val="002F3D7C"/>
    <w:rsid w:val="002F4F99"/>
    <w:rsid w:val="0030049B"/>
    <w:rsid w:val="00326B0F"/>
    <w:rsid w:val="00341FB0"/>
    <w:rsid w:val="0035647A"/>
    <w:rsid w:val="0038248D"/>
    <w:rsid w:val="00385005"/>
    <w:rsid w:val="003B0DD7"/>
    <w:rsid w:val="003C0C58"/>
    <w:rsid w:val="003C3F7A"/>
    <w:rsid w:val="003D4A88"/>
    <w:rsid w:val="003D7326"/>
    <w:rsid w:val="003D7A9A"/>
    <w:rsid w:val="00402DED"/>
    <w:rsid w:val="00412585"/>
    <w:rsid w:val="00417ABF"/>
    <w:rsid w:val="004349F8"/>
    <w:rsid w:val="00445E5A"/>
    <w:rsid w:val="00445EE5"/>
    <w:rsid w:val="00450C30"/>
    <w:rsid w:val="00461EBE"/>
    <w:rsid w:val="00465EC3"/>
    <w:rsid w:val="00466B3C"/>
    <w:rsid w:val="004733F9"/>
    <w:rsid w:val="00481A0A"/>
    <w:rsid w:val="004A3C1D"/>
    <w:rsid w:val="004D375C"/>
    <w:rsid w:val="004E5848"/>
    <w:rsid w:val="00514F63"/>
    <w:rsid w:val="0052404E"/>
    <w:rsid w:val="00536614"/>
    <w:rsid w:val="005415C9"/>
    <w:rsid w:val="00554237"/>
    <w:rsid w:val="005569E6"/>
    <w:rsid w:val="005830C9"/>
    <w:rsid w:val="00583B92"/>
    <w:rsid w:val="00596ABB"/>
    <w:rsid w:val="005A4523"/>
    <w:rsid w:val="005B28C1"/>
    <w:rsid w:val="005D34C7"/>
    <w:rsid w:val="005D7D65"/>
    <w:rsid w:val="005D7F7D"/>
    <w:rsid w:val="005E1F22"/>
    <w:rsid w:val="00606E87"/>
    <w:rsid w:val="00631E7A"/>
    <w:rsid w:val="00642432"/>
    <w:rsid w:val="006C1362"/>
    <w:rsid w:val="006E5BDB"/>
    <w:rsid w:val="006F40B6"/>
    <w:rsid w:val="00717E34"/>
    <w:rsid w:val="00721825"/>
    <w:rsid w:val="00733037"/>
    <w:rsid w:val="00735A84"/>
    <w:rsid w:val="0073635C"/>
    <w:rsid w:val="00742907"/>
    <w:rsid w:val="00753B9D"/>
    <w:rsid w:val="0076348F"/>
    <w:rsid w:val="00790647"/>
    <w:rsid w:val="007A1281"/>
    <w:rsid w:val="007A716A"/>
    <w:rsid w:val="007C090A"/>
    <w:rsid w:val="007E3829"/>
    <w:rsid w:val="007E3AC6"/>
    <w:rsid w:val="007F5701"/>
    <w:rsid w:val="00813BB2"/>
    <w:rsid w:val="008222D8"/>
    <w:rsid w:val="00823909"/>
    <w:rsid w:val="00826CB5"/>
    <w:rsid w:val="00834024"/>
    <w:rsid w:val="008432EB"/>
    <w:rsid w:val="008511CF"/>
    <w:rsid w:val="00861467"/>
    <w:rsid w:val="00867FE2"/>
    <w:rsid w:val="008A17C3"/>
    <w:rsid w:val="008A5B8F"/>
    <w:rsid w:val="008B075D"/>
    <w:rsid w:val="008C579C"/>
    <w:rsid w:val="008C6288"/>
    <w:rsid w:val="008F66DD"/>
    <w:rsid w:val="00911146"/>
    <w:rsid w:val="00915911"/>
    <w:rsid w:val="0093146A"/>
    <w:rsid w:val="00933F95"/>
    <w:rsid w:val="00937E22"/>
    <w:rsid w:val="00956BFC"/>
    <w:rsid w:val="009633B2"/>
    <w:rsid w:val="00976B09"/>
    <w:rsid w:val="009B7296"/>
    <w:rsid w:val="009D610C"/>
    <w:rsid w:val="009E1BBA"/>
    <w:rsid w:val="00A06390"/>
    <w:rsid w:val="00A41EE0"/>
    <w:rsid w:val="00A50000"/>
    <w:rsid w:val="00A7011C"/>
    <w:rsid w:val="00A75235"/>
    <w:rsid w:val="00AA1E92"/>
    <w:rsid w:val="00AC3A54"/>
    <w:rsid w:val="00AC7044"/>
    <w:rsid w:val="00B211AA"/>
    <w:rsid w:val="00B24BBA"/>
    <w:rsid w:val="00B47BD0"/>
    <w:rsid w:val="00B506C0"/>
    <w:rsid w:val="00B54975"/>
    <w:rsid w:val="00B6514F"/>
    <w:rsid w:val="00B74263"/>
    <w:rsid w:val="00B83F64"/>
    <w:rsid w:val="00BB504B"/>
    <w:rsid w:val="00BC10B5"/>
    <w:rsid w:val="00BE0D52"/>
    <w:rsid w:val="00BF2851"/>
    <w:rsid w:val="00BF44D9"/>
    <w:rsid w:val="00C44604"/>
    <w:rsid w:val="00C56D23"/>
    <w:rsid w:val="00C81E43"/>
    <w:rsid w:val="00CA0D04"/>
    <w:rsid w:val="00CA3861"/>
    <w:rsid w:val="00CD0551"/>
    <w:rsid w:val="00CD475B"/>
    <w:rsid w:val="00CF102F"/>
    <w:rsid w:val="00CF7132"/>
    <w:rsid w:val="00D11A5A"/>
    <w:rsid w:val="00D17031"/>
    <w:rsid w:val="00D262BB"/>
    <w:rsid w:val="00D54262"/>
    <w:rsid w:val="00D647F3"/>
    <w:rsid w:val="00D770B9"/>
    <w:rsid w:val="00D8078A"/>
    <w:rsid w:val="00D85FAB"/>
    <w:rsid w:val="00D86DE1"/>
    <w:rsid w:val="00DA5538"/>
    <w:rsid w:val="00DB43EE"/>
    <w:rsid w:val="00DB45A4"/>
    <w:rsid w:val="00DC2864"/>
    <w:rsid w:val="00DE2ECB"/>
    <w:rsid w:val="00DE34F9"/>
    <w:rsid w:val="00E03D9E"/>
    <w:rsid w:val="00E03E48"/>
    <w:rsid w:val="00E1207D"/>
    <w:rsid w:val="00E42AFE"/>
    <w:rsid w:val="00E535D1"/>
    <w:rsid w:val="00E57D1E"/>
    <w:rsid w:val="00E61B6D"/>
    <w:rsid w:val="00E621A2"/>
    <w:rsid w:val="00E73244"/>
    <w:rsid w:val="00E76425"/>
    <w:rsid w:val="00EB4FD9"/>
    <w:rsid w:val="00EC4013"/>
    <w:rsid w:val="00ED6764"/>
    <w:rsid w:val="00EE380A"/>
    <w:rsid w:val="00EF1FE6"/>
    <w:rsid w:val="00F00D1B"/>
    <w:rsid w:val="00F05522"/>
    <w:rsid w:val="00F16396"/>
    <w:rsid w:val="00F24292"/>
    <w:rsid w:val="00F47B76"/>
    <w:rsid w:val="00F550BE"/>
    <w:rsid w:val="00F60FD9"/>
    <w:rsid w:val="00F8447C"/>
    <w:rsid w:val="00F849BF"/>
    <w:rsid w:val="00F94745"/>
    <w:rsid w:val="00FB31F7"/>
    <w:rsid w:val="00FF73C1"/>
    <w:rsid w:val="0B614026"/>
    <w:rsid w:val="1233299B"/>
    <w:rsid w:val="1BC0E384"/>
    <w:rsid w:val="22F2018C"/>
    <w:rsid w:val="270B83B1"/>
    <w:rsid w:val="295897F0"/>
    <w:rsid w:val="4336D55C"/>
    <w:rsid w:val="4CCCAEA1"/>
    <w:rsid w:val="4D3253FC"/>
    <w:rsid w:val="4E687F02"/>
    <w:rsid w:val="51A01FC4"/>
    <w:rsid w:val="554DEC17"/>
    <w:rsid w:val="5DE685F6"/>
    <w:rsid w:val="682D7298"/>
    <w:rsid w:val="6A775590"/>
    <w:rsid w:val="6AA579A4"/>
    <w:rsid w:val="7DF1A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446A"/>
  <w15:chartTrackingRefBased/>
  <w15:docId w15:val="{D53CD70E-0E11-4DEC-AEBD-293EB551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4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4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F40B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6F40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7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47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4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7F3"/>
    <w:rPr>
      <w:b/>
      <w:bCs/>
    </w:rPr>
  </w:style>
  <w:style w:type="character" w:styleId="Hyperlink">
    <w:name w:val="Hyperlink"/>
    <w:basedOn w:val="DefaultParagraphFont"/>
    <w:unhideWhenUsed/>
    <w:rsid w:val="00D647F3"/>
    <w:rPr>
      <w:color w:val="0000FF"/>
      <w:u w:val="single"/>
    </w:rPr>
  </w:style>
  <w:style w:type="character" w:styleId="CommentReference">
    <w:name w:val="annotation reference"/>
    <w:basedOn w:val="DefaultParagraphFont"/>
    <w:uiPriority w:val="99"/>
    <w:semiHidden/>
    <w:unhideWhenUsed/>
    <w:rsid w:val="001F1E89"/>
    <w:rPr>
      <w:sz w:val="16"/>
      <w:szCs w:val="16"/>
    </w:rPr>
  </w:style>
  <w:style w:type="paragraph" w:styleId="CommentText">
    <w:name w:val="annotation text"/>
    <w:basedOn w:val="Normal"/>
    <w:link w:val="CommentTextChar"/>
    <w:uiPriority w:val="99"/>
    <w:unhideWhenUsed/>
    <w:rsid w:val="001F1E89"/>
    <w:pPr>
      <w:spacing w:line="240" w:lineRule="auto"/>
    </w:pPr>
    <w:rPr>
      <w:sz w:val="20"/>
      <w:szCs w:val="20"/>
    </w:rPr>
  </w:style>
  <w:style w:type="character" w:customStyle="1" w:styleId="CommentTextChar">
    <w:name w:val="Comment Text Char"/>
    <w:basedOn w:val="DefaultParagraphFont"/>
    <w:link w:val="CommentText"/>
    <w:uiPriority w:val="99"/>
    <w:rsid w:val="001F1E89"/>
    <w:rPr>
      <w:sz w:val="20"/>
      <w:szCs w:val="20"/>
    </w:rPr>
  </w:style>
  <w:style w:type="paragraph" w:styleId="CommentSubject">
    <w:name w:val="annotation subject"/>
    <w:basedOn w:val="CommentText"/>
    <w:next w:val="CommentText"/>
    <w:link w:val="CommentSubjectChar"/>
    <w:uiPriority w:val="99"/>
    <w:semiHidden/>
    <w:unhideWhenUsed/>
    <w:rsid w:val="001F1E89"/>
    <w:rPr>
      <w:b/>
      <w:bCs/>
    </w:rPr>
  </w:style>
  <w:style w:type="character" w:customStyle="1" w:styleId="CommentSubjectChar">
    <w:name w:val="Comment Subject Char"/>
    <w:basedOn w:val="CommentTextChar"/>
    <w:link w:val="CommentSubject"/>
    <w:uiPriority w:val="99"/>
    <w:semiHidden/>
    <w:rsid w:val="001F1E89"/>
    <w:rPr>
      <w:b/>
      <w:bCs/>
      <w:sz w:val="20"/>
      <w:szCs w:val="20"/>
    </w:rPr>
  </w:style>
  <w:style w:type="paragraph" w:styleId="Revision">
    <w:name w:val="Revision"/>
    <w:hidden/>
    <w:uiPriority w:val="99"/>
    <w:semiHidden/>
    <w:rsid w:val="00AA1E92"/>
    <w:pPr>
      <w:spacing w:after="0" w:line="240" w:lineRule="auto"/>
    </w:pPr>
  </w:style>
  <w:style w:type="character" w:customStyle="1" w:styleId="Heading5Char">
    <w:name w:val="Heading 5 Char"/>
    <w:basedOn w:val="DefaultParagraphFont"/>
    <w:link w:val="Heading5"/>
    <w:uiPriority w:val="9"/>
    <w:semiHidden/>
    <w:rsid w:val="006F40B6"/>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6F40B6"/>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semiHidden/>
    <w:rsid w:val="006F40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40B6"/>
    <w:rPr>
      <w:rFonts w:ascii="Times New Roman" w:eastAsia="Times New Roman" w:hAnsi="Times New Roman" w:cs="Times New Roman"/>
      <w:sz w:val="20"/>
      <w:szCs w:val="20"/>
    </w:rPr>
  </w:style>
  <w:style w:type="character" w:styleId="FootnoteReference">
    <w:name w:val="footnote reference"/>
    <w:semiHidden/>
    <w:rsid w:val="006F40B6"/>
    <w:rPr>
      <w:vertAlign w:val="superscript"/>
    </w:rPr>
  </w:style>
  <w:style w:type="character" w:styleId="HTMLCode">
    <w:name w:val="HTML Code"/>
    <w:rsid w:val="006F40B6"/>
    <w:rPr>
      <w:rFonts w:ascii="Courier New" w:eastAsia="Times New Roman" w:hAnsi="Courier New" w:cs="Courier New"/>
      <w:sz w:val="20"/>
      <w:szCs w:val="20"/>
    </w:rPr>
  </w:style>
  <w:style w:type="paragraph" w:styleId="ListParagraph">
    <w:name w:val="List Paragraph"/>
    <w:basedOn w:val="Normal"/>
    <w:uiPriority w:val="34"/>
    <w:qFormat/>
    <w:rsid w:val="00E73244"/>
    <w:pPr>
      <w:spacing w:after="0" w:line="240" w:lineRule="auto"/>
      <w:ind w:left="720"/>
    </w:pPr>
    <w:rPr>
      <w:rFonts w:ascii="Calibri" w:hAnsi="Calibri" w:cs="Calibri"/>
    </w:rPr>
  </w:style>
  <w:style w:type="paragraph" w:customStyle="1" w:styleId="Default">
    <w:name w:val="Default"/>
    <w:basedOn w:val="Normal"/>
    <w:rsid w:val="00E73244"/>
    <w:pPr>
      <w:autoSpaceDE w:val="0"/>
      <w:autoSpaceDN w:val="0"/>
      <w:spacing w:after="0" w:line="240" w:lineRule="auto"/>
    </w:pPr>
    <w:rPr>
      <w:rFonts w:ascii="Helvetica World" w:hAnsi="Helvetica World" w:cs="Calibri"/>
      <w:color w:val="000000"/>
      <w:sz w:val="24"/>
      <w:szCs w:val="24"/>
    </w:rPr>
  </w:style>
  <w:style w:type="character" w:customStyle="1" w:styleId="num">
    <w:name w:val="num"/>
    <w:basedOn w:val="DefaultParagraphFont"/>
    <w:rsid w:val="00E73244"/>
  </w:style>
  <w:style w:type="character" w:customStyle="1" w:styleId="heading">
    <w:name w:val="heading"/>
    <w:basedOn w:val="DefaultParagraphFont"/>
    <w:rsid w:val="00E73244"/>
  </w:style>
  <w:style w:type="character" w:customStyle="1" w:styleId="chapeau">
    <w:name w:val="chapeau"/>
    <w:basedOn w:val="DefaultParagraphFont"/>
    <w:rsid w:val="00E73244"/>
  </w:style>
  <w:style w:type="character" w:customStyle="1" w:styleId="enumxml">
    <w:name w:val="enumxml"/>
    <w:basedOn w:val="DefaultParagraphFont"/>
    <w:rsid w:val="00E73244"/>
  </w:style>
  <w:style w:type="character" w:styleId="UnresolvedMention">
    <w:name w:val="Unresolved Mention"/>
    <w:basedOn w:val="DefaultParagraphFont"/>
    <w:uiPriority w:val="99"/>
    <w:semiHidden/>
    <w:unhideWhenUsed/>
    <w:rsid w:val="00402DED"/>
    <w:rPr>
      <w:color w:val="605E5C"/>
      <w:shd w:val="clear" w:color="auto" w:fill="E1DFDD"/>
    </w:rPr>
  </w:style>
  <w:style w:type="paragraph" w:styleId="Header">
    <w:name w:val="header"/>
    <w:basedOn w:val="Normal"/>
    <w:link w:val="HeaderChar"/>
    <w:uiPriority w:val="99"/>
    <w:unhideWhenUsed/>
    <w:rsid w:val="00B2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AA"/>
  </w:style>
  <w:style w:type="paragraph" w:styleId="Footer">
    <w:name w:val="footer"/>
    <w:basedOn w:val="Normal"/>
    <w:link w:val="FooterChar"/>
    <w:uiPriority w:val="99"/>
    <w:unhideWhenUsed/>
    <w:rsid w:val="00B2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AA"/>
  </w:style>
  <w:style w:type="character" w:styleId="FollowedHyperlink">
    <w:name w:val="FollowedHyperlink"/>
    <w:basedOn w:val="DefaultParagraphFont"/>
    <w:uiPriority w:val="99"/>
    <w:semiHidden/>
    <w:unhideWhenUsed/>
    <w:rsid w:val="001C233D"/>
    <w:rPr>
      <w:color w:val="954F72" w:themeColor="followedHyperlink"/>
      <w:u w:val="single"/>
    </w:rPr>
  </w:style>
  <w:style w:type="character" w:customStyle="1" w:styleId="ui-provider">
    <w:name w:val="ui-provider"/>
    <w:basedOn w:val="DefaultParagraphFont"/>
    <w:rsid w:val="003D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083">
      <w:bodyDiv w:val="1"/>
      <w:marLeft w:val="0"/>
      <w:marRight w:val="0"/>
      <w:marTop w:val="0"/>
      <w:marBottom w:val="0"/>
      <w:divBdr>
        <w:top w:val="none" w:sz="0" w:space="0" w:color="auto"/>
        <w:left w:val="none" w:sz="0" w:space="0" w:color="auto"/>
        <w:bottom w:val="none" w:sz="0" w:space="0" w:color="auto"/>
        <w:right w:val="none" w:sz="0" w:space="0" w:color="auto"/>
      </w:divBdr>
    </w:div>
    <w:div w:id="411707488">
      <w:bodyDiv w:val="1"/>
      <w:marLeft w:val="0"/>
      <w:marRight w:val="0"/>
      <w:marTop w:val="0"/>
      <w:marBottom w:val="0"/>
      <w:divBdr>
        <w:top w:val="none" w:sz="0" w:space="0" w:color="auto"/>
        <w:left w:val="none" w:sz="0" w:space="0" w:color="auto"/>
        <w:bottom w:val="none" w:sz="0" w:space="0" w:color="auto"/>
        <w:right w:val="none" w:sz="0" w:space="0" w:color="auto"/>
      </w:divBdr>
      <w:divsChild>
        <w:div w:id="967011785">
          <w:blockQuote w:val="1"/>
          <w:marLeft w:val="360"/>
          <w:marRight w:val="0"/>
          <w:marTop w:val="0"/>
          <w:marBottom w:val="100"/>
          <w:divBdr>
            <w:top w:val="none" w:sz="0" w:space="0" w:color="auto"/>
            <w:left w:val="none" w:sz="0" w:space="0" w:color="auto"/>
            <w:bottom w:val="none" w:sz="0" w:space="0" w:color="auto"/>
            <w:right w:val="none" w:sz="0" w:space="0" w:color="auto"/>
          </w:divBdr>
        </w:div>
        <w:div w:id="1885217453">
          <w:blockQuote w:val="1"/>
          <w:marLeft w:val="360"/>
          <w:marRight w:val="0"/>
          <w:marTop w:val="0"/>
          <w:marBottom w:val="100"/>
          <w:divBdr>
            <w:top w:val="none" w:sz="0" w:space="0" w:color="auto"/>
            <w:left w:val="none" w:sz="0" w:space="0" w:color="auto"/>
            <w:bottom w:val="none" w:sz="0" w:space="0" w:color="auto"/>
            <w:right w:val="none" w:sz="0" w:space="0" w:color="auto"/>
          </w:divBdr>
        </w:div>
        <w:div w:id="1209802995">
          <w:blockQuote w:val="1"/>
          <w:marLeft w:val="360"/>
          <w:marRight w:val="0"/>
          <w:marTop w:val="0"/>
          <w:marBottom w:val="100"/>
          <w:divBdr>
            <w:top w:val="none" w:sz="0" w:space="0" w:color="auto"/>
            <w:left w:val="none" w:sz="0" w:space="0" w:color="auto"/>
            <w:bottom w:val="none" w:sz="0" w:space="0" w:color="auto"/>
            <w:right w:val="none" w:sz="0" w:space="0" w:color="auto"/>
          </w:divBdr>
        </w:div>
      </w:divsChild>
    </w:div>
    <w:div w:id="554244494">
      <w:bodyDiv w:val="1"/>
      <w:marLeft w:val="0"/>
      <w:marRight w:val="0"/>
      <w:marTop w:val="0"/>
      <w:marBottom w:val="0"/>
      <w:divBdr>
        <w:top w:val="none" w:sz="0" w:space="0" w:color="auto"/>
        <w:left w:val="none" w:sz="0" w:space="0" w:color="auto"/>
        <w:bottom w:val="none" w:sz="0" w:space="0" w:color="auto"/>
        <w:right w:val="none" w:sz="0" w:space="0" w:color="auto"/>
      </w:divBdr>
    </w:div>
    <w:div w:id="573904062">
      <w:bodyDiv w:val="1"/>
      <w:marLeft w:val="0"/>
      <w:marRight w:val="0"/>
      <w:marTop w:val="0"/>
      <w:marBottom w:val="0"/>
      <w:divBdr>
        <w:top w:val="none" w:sz="0" w:space="0" w:color="auto"/>
        <w:left w:val="none" w:sz="0" w:space="0" w:color="auto"/>
        <w:bottom w:val="none" w:sz="0" w:space="0" w:color="auto"/>
        <w:right w:val="none" w:sz="0" w:space="0" w:color="auto"/>
      </w:divBdr>
    </w:div>
    <w:div w:id="805198474">
      <w:bodyDiv w:val="1"/>
      <w:marLeft w:val="0"/>
      <w:marRight w:val="0"/>
      <w:marTop w:val="0"/>
      <w:marBottom w:val="0"/>
      <w:divBdr>
        <w:top w:val="none" w:sz="0" w:space="0" w:color="auto"/>
        <w:left w:val="none" w:sz="0" w:space="0" w:color="auto"/>
        <w:bottom w:val="none" w:sz="0" w:space="0" w:color="auto"/>
        <w:right w:val="none" w:sz="0" w:space="0" w:color="auto"/>
      </w:divBdr>
      <w:divsChild>
        <w:div w:id="582489195">
          <w:blockQuote w:val="1"/>
          <w:marLeft w:val="360"/>
          <w:marRight w:val="0"/>
          <w:marTop w:val="0"/>
          <w:marBottom w:val="100"/>
          <w:divBdr>
            <w:top w:val="none" w:sz="0" w:space="0" w:color="auto"/>
            <w:left w:val="none" w:sz="0" w:space="0" w:color="auto"/>
            <w:bottom w:val="none" w:sz="0" w:space="0" w:color="auto"/>
            <w:right w:val="none" w:sz="0" w:space="0" w:color="auto"/>
          </w:divBdr>
        </w:div>
        <w:div w:id="1293244308">
          <w:blockQuote w:val="1"/>
          <w:marLeft w:val="360"/>
          <w:marRight w:val="0"/>
          <w:marTop w:val="0"/>
          <w:marBottom w:val="100"/>
          <w:divBdr>
            <w:top w:val="none" w:sz="0" w:space="0" w:color="auto"/>
            <w:left w:val="none" w:sz="0" w:space="0" w:color="auto"/>
            <w:bottom w:val="none" w:sz="0" w:space="0" w:color="auto"/>
            <w:right w:val="none" w:sz="0" w:space="0" w:color="auto"/>
          </w:divBdr>
        </w:div>
        <w:div w:id="1485707280">
          <w:blockQuote w:val="1"/>
          <w:marLeft w:val="360"/>
          <w:marRight w:val="0"/>
          <w:marTop w:val="0"/>
          <w:marBottom w:val="100"/>
          <w:divBdr>
            <w:top w:val="none" w:sz="0" w:space="0" w:color="auto"/>
            <w:left w:val="none" w:sz="0" w:space="0" w:color="auto"/>
            <w:bottom w:val="none" w:sz="0" w:space="0" w:color="auto"/>
            <w:right w:val="none" w:sz="0" w:space="0" w:color="auto"/>
          </w:divBdr>
        </w:div>
      </w:divsChild>
    </w:div>
    <w:div w:id="847718566">
      <w:bodyDiv w:val="1"/>
      <w:marLeft w:val="0"/>
      <w:marRight w:val="0"/>
      <w:marTop w:val="0"/>
      <w:marBottom w:val="0"/>
      <w:divBdr>
        <w:top w:val="none" w:sz="0" w:space="0" w:color="auto"/>
        <w:left w:val="none" w:sz="0" w:space="0" w:color="auto"/>
        <w:bottom w:val="none" w:sz="0" w:space="0" w:color="auto"/>
        <w:right w:val="none" w:sz="0" w:space="0" w:color="auto"/>
      </w:divBdr>
      <w:divsChild>
        <w:div w:id="558858034">
          <w:blockQuote w:val="1"/>
          <w:marLeft w:val="360"/>
          <w:marRight w:val="0"/>
          <w:marTop w:val="0"/>
          <w:marBottom w:val="100"/>
          <w:divBdr>
            <w:top w:val="none" w:sz="0" w:space="0" w:color="auto"/>
            <w:left w:val="none" w:sz="0" w:space="0" w:color="auto"/>
            <w:bottom w:val="none" w:sz="0" w:space="0" w:color="auto"/>
            <w:right w:val="none" w:sz="0" w:space="0" w:color="auto"/>
          </w:divBdr>
        </w:div>
        <w:div w:id="1025401337">
          <w:blockQuote w:val="1"/>
          <w:marLeft w:val="360"/>
          <w:marRight w:val="0"/>
          <w:marTop w:val="0"/>
          <w:marBottom w:val="100"/>
          <w:divBdr>
            <w:top w:val="none" w:sz="0" w:space="0" w:color="auto"/>
            <w:left w:val="none" w:sz="0" w:space="0" w:color="auto"/>
            <w:bottom w:val="none" w:sz="0" w:space="0" w:color="auto"/>
            <w:right w:val="none" w:sz="0" w:space="0" w:color="auto"/>
          </w:divBdr>
        </w:div>
        <w:div w:id="1539390633">
          <w:blockQuote w:val="1"/>
          <w:marLeft w:val="360"/>
          <w:marRight w:val="0"/>
          <w:marTop w:val="0"/>
          <w:marBottom w:val="100"/>
          <w:divBdr>
            <w:top w:val="none" w:sz="0" w:space="0" w:color="auto"/>
            <w:left w:val="none" w:sz="0" w:space="0" w:color="auto"/>
            <w:bottom w:val="none" w:sz="0" w:space="0" w:color="auto"/>
            <w:right w:val="none" w:sz="0" w:space="0" w:color="auto"/>
          </w:divBdr>
        </w:div>
      </w:divsChild>
    </w:div>
    <w:div w:id="910196474">
      <w:bodyDiv w:val="1"/>
      <w:marLeft w:val="0"/>
      <w:marRight w:val="0"/>
      <w:marTop w:val="0"/>
      <w:marBottom w:val="0"/>
      <w:divBdr>
        <w:top w:val="none" w:sz="0" w:space="0" w:color="auto"/>
        <w:left w:val="none" w:sz="0" w:space="0" w:color="auto"/>
        <w:bottom w:val="none" w:sz="0" w:space="0" w:color="auto"/>
        <w:right w:val="none" w:sz="0" w:space="0" w:color="auto"/>
      </w:divBdr>
    </w:div>
    <w:div w:id="1032876017">
      <w:bodyDiv w:val="1"/>
      <w:marLeft w:val="0"/>
      <w:marRight w:val="0"/>
      <w:marTop w:val="0"/>
      <w:marBottom w:val="0"/>
      <w:divBdr>
        <w:top w:val="none" w:sz="0" w:space="0" w:color="auto"/>
        <w:left w:val="none" w:sz="0" w:space="0" w:color="auto"/>
        <w:bottom w:val="none" w:sz="0" w:space="0" w:color="auto"/>
        <w:right w:val="none" w:sz="0" w:space="0" w:color="auto"/>
      </w:divBdr>
    </w:div>
    <w:div w:id="1458840169">
      <w:bodyDiv w:val="1"/>
      <w:marLeft w:val="0"/>
      <w:marRight w:val="0"/>
      <w:marTop w:val="0"/>
      <w:marBottom w:val="0"/>
      <w:divBdr>
        <w:top w:val="none" w:sz="0" w:space="0" w:color="auto"/>
        <w:left w:val="none" w:sz="0" w:space="0" w:color="auto"/>
        <w:bottom w:val="none" w:sz="0" w:space="0" w:color="auto"/>
        <w:right w:val="none" w:sz="0" w:space="0" w:color="auto"/>
      </w:divBdr>
    </w:div>
    <w:div w:id="1577205052">
      <w:bodyDiv w:val="1"/>
      <w:marLeft w:val="0"/>
      <w:marRight w:val="0"/>
      <w:marTop w:val="0"/>
      <w:marBottom w:val="0"/>
      <w:divBdr>
        <w:top w:val="none" w:sz="0" w:space="0" w:color="auto"/>
        <w:left w:val="none" w:sz="0" w:space="0" w:color="auto"/>
        <w:bottom w:val="none" w:sz="0" w:space="0" w:color="auto"/>
        <w:right w:val="none" w:sz="0" w:space="0" w:color="auto"/>
      </w:divBdr>
    </w:div>
    <w:div w:id="1776828341">
      <w:bodyDiv w:val="1"/>
      <w:marLeft w:val="0"/>
      <w:marRight w:val="0"/>
      <w:marTop w:val="0"/>
      <w:marBottom w:val="0"/>
      <w:divBdr>
        <w:top w:val="none" w:sz="0" w:space="0" w:color="auto"/>
        <w:left w:val="none" w:sz="0" w:space="0" w:color="auto"/>
        <w:bottom w:val="none" w:sz="0" w:space="0" w:color="auto"/>
        <w:right w:val="none" w:sz="0" w:space="0" w:color="auto"/>
      </w:divBdr>
    </w:div>
    <w:div w:id="19628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lga.gov/legislation/ilcs/documents/003001050K12-3.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uditor.illinois.gov/Legislative-Travel-Control-Board/Travel-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regs.com/regulations/title5_chapterI_part550_subpartG_section550.70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lga.gov/commission/jcar/admincode/080/080029000A00100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1c76dd4-a66c-4dc3-b190-97a05771e7f4">3P6E2KQ7PQMM-636903117-4190</_dlc_DocId>
    <_dlc_DocIdUrl xmlns="51c76dd4-a66c-4dc3-b190-97a05771e7f4">
      <Url>https://uillinoisedu.sharepoint.com/sites/policy/_layouts/15/DocIdRedir.aspx?ID=3P6E2KQ7PQMM-636903117-4190</Url>
      <Description>3P6E2KQ7PQMM-636903117-4190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F8C089DB2AC1468BFC35DA1212BB7F" ma:contentTypeVersion="11" ma:contentTypeDescription="Create a new document." ma:contentTypeScope="" ma:versionID="409b529bce1ef1326c4171fbcd9782fc">
  <xsd:schema xmlns:xsd="http://www.w3.org/2001/XMLSchema" xmlns:xs="http://www.w3.org/2001/XMLSchema" xmlns:p="http://schemas.microsoft.com/office/2006/metadata/properties" xmlns:ns2="7cde6fd6-481c-4910-8904-11bbb5ed6394" xmlns:ns3="51c76dd4-a66c-4dc3-b190-97a05771e7f4" targetNamespace="http://schemas.microsoft.com/office/2006/metadata/properties" ma:root="true" ma:fieldsID="e2dc039305b4f6571d13e1b4c54e75f2" ns2:_="" ns3:_="">
    <xsd:import namespace="7cde6fd6-481c-4910-8904-11bbb5ed6394"/>
    <xsd:import namespace="51c76dd4-a66c-4dc3-b190-97a05771e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e6fd6-481c-4910-8904-11bbb5ed6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76dd4-a66c-4dc3-b190-97a05771e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6F24F3-E8D1-498F-8ACC-01C4D806D63D}">
  <ds:schemaRefs>
    <ds:schemaRef ds:uri="http://schemas.openxmlformats.org/officeDocument/2006/bibliography"/>
  </ds:schemaRefs>
</ds:datastoreItem>
</file>

<file path=customXml/itemProps2.xml><?xml version="1.0" encoding="utf-8"?>
<ds:datastoreItem xmlns:ds="http://schemas.openxmlformats.org/officeDocument/2006/customXml" ds:itemID="{D6A29F51-0AD5-4FF3-85FC-1B824810D8E9}">
  <ds:schemaRefs>
    <ds:schemaRef ds:uri="http://schemas.microsoft.com/office/2006/metadata/properties"/>
    <ds:schemaRef ds:uri="http://schemas.microsoft.com/office/infopath/2007/PartnerControls"/>
    <ds:schemaRef ds:uri="51c76dd4-a66c-4dc3-b190-97a05771e7f4"/>
  </ds:schemaRefs>
</ds:datastoreItem>
</file>

<file path=customXml/itemProps3.xml><?xml version="1.0" encoding="utf-8"?>
<ds:datastoreItem xmlns:ds="http://schemas.openxmlformats.org/officeDocument/2006/customXml" ds:itemID="{5625BB2B-5623-4401-8E36-46BFF73DF126}">
  <ds:schemaRefs>
    <ds:schemaRef ds:uri="http://schemas.microsoft.com/sharepoint/v3/contenttype/forms"/>
  </ds:schemaRefs>
</ds:datastoreItem>
</file>

<file path=customXml/itemProps4.xml><?xml version="1.0" encoding="utf-8"?>
<ds:datastoreItem xmlns:ds="http://schemas.openxmlformats.org/officeDocument/2006/customXml" ds:itemID="{76A156C9-9C20-479B-9487-5D750A663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e6fd6-481c-4910-8904-11bbb5ed6394"/>
    <ds:schemaRef ds:uri="51c76dd4-a66c-4dc3-b190-97a05771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6C91C6-F971-42A4-BD17-C4BDD1101D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Links>
    <vt:vector size="30" baseType="variant">
      <vt:variant>
        <vt:i4>4980823</vt:i4>
      </vt:variant>
      <vt:variant>
        <vt:i4>12</vt:i4>
      </vt:variant>
      <vt:variant>
        <vt:i4>0</vt:i4>
      </vt:variant>
      <vt:variant>
        <vt:i4>5</vt:i4>
      </vt:variant>
      <vt:variant>
        <vt:lpwstr>https://www.ilga.gov/commission/jcar/admincode/080/080029000A00100R.html</vt:lpwstr>
      </vt:variant>
      <vt:variant>
        <vt:lpwstr/>
      </vt:variant>
      <vt:variant>
        <vt:i4>7929961</vt:i4>
      </vt:variant>
      <vt:variant>
        <vt:i4>9</vt:i4>
      </vt:variant>
      <vt:variant>
        <vt:i4>0</vt:i4>
      </vt:variant>
      <vt:variant>
        <vt:i4>5</vt:i4>
      </vt:variant>
      <vt:variant>
        <vt:lpwstr>https://ilga.gov/legislation/ilcs/documents/003001050K12-3.htm</vt:lpwstr>
      </vt:variant>
      <vt:variant>
        <vt:lpwstr/>
      </vt:variant>
      <vt:variant>
        <vt:i4>2818170</vt:i4>
      </vt:variant>
      <vt:variant>
        <vt:i4>6</vt:i4>
      </vt:variant>
      <vt:variant>
        <vt:i4>0</vt:i4>
      </vt:variant>
      <vt:variant>
        <vt:i4>5</vt:i4>
      </vt:variant>
      <vt:variant>
        <vt:lpwstr>https://www.auditor.illinois.gov/Legislative-Travel-Control-Board/Travel-Guide.pdf</vt:lpwstr>
      </vt:variant>
      <vt:variant>
        <vt:lpwstr/>
      </vt:variant>
      <vt:variant>
        <vt:i4>7929966</vt:i4>
      </vt:variant>
      <vt:variant>
        <vt:i4>3</vt:i4>
      </vt:variant>
      <vt:variant>
        <vt:i4>0</vt:i4>
      </vt:variant>
      <vt:variant>
        <vt:i4>5</vt:i4>
      </vt:variant>
      <vt:variant>
        <vt:lpwstr>https://www.obfs.uillinois.edu/common/pages/DisplayFile.aspx?itemId=1330952</vt:lpwstr>
      </vt:variant>
      <vt:variant>
        <vt:lpwstr/>
      </vt:variant>
      <vt:variant>
        <vt:i4>7602276</vt:i4>
      </vt:variant>
      <vt:variant>
        <vt:i4>0</vt:i4>
      </vt:variant>
      <vt:variant>
        <vt:i4>0</vt:i4>
      </vt:variant>
      <vt:variant>
        <vt:i4>5</vt:i4>
      </vt:variant>
      <vt:variant>
        <vt:lpwstr>https://www.obfs.uillinois.edu/common/pages/DisplayFile.aspx?itemId=113238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Zumpf, Brian Robert</dc:creator>
  <cp:keywords/>
  <dc:description/>
  <cp:lastModifiedBy>Gomoll, Alana</cp:lastModifiedBy>
  <cp:revision>5</cp:revision>
  <cp:lastPrinted>2023-01-10T22:31:00Z</cp:lastPrinted>
  <dcterms:created xsi:type="dcterms:W3CDTF">2023-05-22T15:32:00Z</dcterms:created>
  <dcterms:modified xsi:type="dcterms:W3CDTF">2023-05-22T15:37:00Z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0x01010099F8C089DB2AC1468BFC35DA1212BB7F</vt:lpwstr>
  </property>
  <property fmtid="{D5CDD505-2E9C-101B-9397-08002B2CF9AE}" pid="3" name="_dlc_DocIdItemGuid">
    <vt:lpwstr>c0f0af7b-7f38-433b-b66a-2909707b1a57</vt:lpwstr>
  </property>
</Properties>
</file>